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1141" w14:textId="6A6C65DF" w:rsidR="00453949" w:rsidRPr="006D3372" w:rsidRDefault="00FD037B" w:rsidP="00E32D5D">
      <w:pPr>
        <w:tabs>
          <w:tab w:val="left" w:pos="426"/>
        </w:tabs>
        <w:spacing w:before="60"/>
        <w:rPr>
          <w:rFonts w:ascii="Times New Roman" w:hAnsi="Times New Roman" w:cs="Times New Roman"/>
          <w:b/>
        </w:rPr>
      </w:pPr>
      <w:bookmarkStart w:id="0" w:name="_Hlk127177520"/>
      <w:r w:rsidRPr="006D3372">
        <w:rPr>
          <w:rFonts w:ascii="Times New Roman" w:hAnsi="Times New Roman" w:cs="Times New Roman"/>
          <w:b/>
        </w:rPr>
        <w:t>Zasady określania wartości nieruchomości przez rzeczoznawcę majątkowego dla potrzeb ustanowienia zabezpieczenia wierzytelności Banku</w:t>
      </w:r>
      <w:r w:rsidR="003F4A95" w:rsidRPr="006D3372">
        <w:rPr>
          <w:rFonts w:ascii="Times New Roman" w:hAnsi="Times New Roman" w:cs="Times New Roman"/>
          <w:b/>
        </w:rPr>
        <w:t xml:space="preserve"> </w:t>
      </w:r>
      <w:r w:rsidR="00B53E71" w:rsidRPr="006D3372">
        <w:rPr>
          <w:rFonts w:ascii="Times New Roman" w:hAnsi="Times New Roman" w:cs="Times New Roman"/>
          <w:b/>
        </w:rPr>
        <w:t>oraz zakres wymaganych dokumentów</w:t>
      </w:r>
      <w:bookmarkEnd w:id="0"/>
    </w:p>
    <w:p w14:paraId="70CC0CCE" w14:textId="7EB2C232" w:rsidR="00FD037B" w:rsidRPr="006D3372" w:rsidRDefault="00FD037B" w:rsidP="003E415D">
      <w:pPr>
        <w:pStyle w:val="Akapitzlist"/>
        <w:numPr>
          <w:ilvl w:val="2"/>
          <w:numId w:val="5"/>
        </w:numPr>
        <w:tabs>
          <w:tab w:val="clear" w:pos="2846"/>
        </w:tabs>
        <w:spacing w:before="60" w:after="0" w:line="240" w:lineRule="auto"/>
        <w:ind w:left="567" w:hanging="425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 xml:space="preserve">Celem wyceny jest określenie wartości rynkowej nieruchomości według stanu na dzień wyceny dla aktualnego sposobu jej użytkowania </w:t>
      </w:r>
      <w:r w:rsidR="00402B1D" w:rsidRPr="006D3372">
        <w:rPr>
          <w:rFonts w:ascii="Times New Roman" w:hAnsi="Times New Roman" w:cs="Times New Roman"/>
          <w:sz w:val="19"/>
          <w:szCs w:val="19"/>
        </w:rPr>
        <w:t>na</w:t>
      </w:r>
      <w:r w:rsidRPr="006D3372">
        <w:rPr>
          <w:rFonts w:ascii="Times New Roman" w:hAnsi="Times New Roman" w:cs="Times New Roman"/>
          <w:sz w:val="19"/>
          <w:szCs w:val="19"/>
        </w:rPr>
        <w:t xml:space="preserve"> potrzeb</w:t>
      </w:r>
      <w:r w:rsidR="00402B1D" w:rsidRPr="006D3372">
        <w:rPr>
          <w:rFonts w:ascii="Times New Roman" w:hAnsi="Times New Roman" w:cs="Times New Roman"/>
          <w:sz w:val="19"/>
          <w:szCs w:val="19"/>
        </w:rPr>
        <w:t>y</w:t>
      </w:r>
      <w:r w:rsidRPr="006D3372">
        <w:rPr>
          <w:rFonts w:ascii="Times New Roman" w:hAnsi="Times New Roman" w:cs="Times New Roman"/>
          <w:sz w:val="19"/>
          <w:szCs w:val="19"/>
        </w:rPr>
        <w:t xml:space="preserve"> zabezpieczenia wierzytelności Banku. </w:t>
      </w:r>
    </w:p>
    <w:p w14:paraId="5F142CBA" w14:textId="174E5FDF" w:rsidR="00FD037B" w:rsidRPr="006D3372" w:rsidRDefault="00FD037B" w:rsidP="003E415D">
      <w:pPr>
        <w:pStyle w:val="Akapitzlist"/>
        <w:numPr>
          <w:ilvl w:val="2"/>
          <w:numId w:val="5"/>
        </w:numPr>
        <w:tabs>
          <w:tab w:val="clear" w:pos="2846"/>
        </w:tabs>
        <w:spacing w:before="60" w:after="0" w:line="240" w:lineRule="auto"/>
        <w:ind w:left="567" w:hanging="425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Opera</w:t>
      </w:r>
      <w:r w:rsidR="00402B1D" w:rsidRPr="006D3372">
        <w:rPr>
          <w:rFonts w:ascii="Times New Roman" w:hAnsi="Times New Roman" w:cs="Times New Roman"/>
          <w:sz w:val="19"/>
          <w:szCs w:val="19"/>
        </w:rPr>
        <w:t>t szacunkowy</w:t>
      </w:r>
      <w:r w:rsidR="00CE432D" w:rsidRPr="006D3372">
        <w:rPr>
          <w:rFonts w:ascii="Times New Roman" w:hAnsi="Times New Roman" w:cs="Times New Roman"/>
          <w:sz w:val="19"/>
          <w:szCs w:val="19"/>
        </w:rPr>
        <w:t xml:space="preserve"> powinien być sporządzony</w:t>
      </w:r>
      <w:r w:rsidR="00F1433B" w:rsidRPr="006D3372">
        <w:rPr>
          <w:rFonts w:ascii="Times New Roman" w:hAnsi="Times New Roman" w:cs="Times New Roman"/>
          <w:sz w:val="19"/>
          <w:szCs w:val="19"/>
        </w:rPr>
        <w:t xml:space="preserve"> zgodnie z rozporządzeniem</w:t>
      </w:r>
      <w:r w:rsidR="00F1433B" w:rsidRPr="006D3372">
        <w:rPr>
          <w:rStyle w:val="Odwoanieprzypisudolnego"/>
          <w:rFonts w:ascii="Times New Roman" w:hAnsi="Times New Roman" w:cs="Times New Roman"/>
          <w:sz w:val="19"/>
          <w:szCs w:val="19"/>
        </w:rPr>
        <w:footnoteReference w:id="1"/>
      </w:r>
      <w:r w:rsidR="00F1433B" w:rsidRPr="006D3372">
        <w:rPr>
          <w:rFonts w:ascii="Times New Roman" w:hAnsi="Times New Roman" w:cs="Times New Roman"/>
          <w:sz w:val="19"/>
          <w:szCs w:val="19"/>
        </w:rPr>
        <w:t xml:space="preserve"> </w:t>
      </w:r>
      <w:r w:rsidR="00CE432D" w:rsidRPr="006D3372">
        <w:rPr>
          <w:rFonts w:ascii="Times New Roman" w:hAnsi="Times New Roman" w:cs="Times New Roman"/>
          <w:sz w:val="19"/>
          <w:szCs w:val="19"/>
        </w:rPr>
        <w:t xml:space="preserve">, </w:t>
      </w:r>
      <w:r w:rsidRPr="006D3372">
        <w:rPr>
          <w:rFonts w:ascii="Times New Roman" w:hAnsi="Times New Roman" w:cs="Times New Roman"/>
          <w:sz w:val="19"/>
          <w:szCs w:val="19"/>
        </w:rPr>
        <w:t>zawierać</w:t>
      </w:r>
      <w:r w:rsidR="00345971" w:rsidRPr="006D3372">
        <w:rPr>
          <w:rFonts w:ascii="Times New Roman" w:hAnsi="Times New Roman" w:cs="Times New Roman"/>
          <w:sz w:val="19"/>
          <w:szCs w:val="19"/>
        </w:rPr>
        <w:t xml:space="preserve"> wszystkie elementy zgodnie z</w:t>
      </w:r>
      <w:r w:rsidR="00A97AD6" w:rsidRPr="006D3372">
        <w:rPr>
          <w:rFonts w:ascii="Times New Roman" w:hAnsi="Times New Roman" w:cs="Times New Roman"/>
          <w:sz w:val="19"/>
          <w:szCs w:val="19"/>
        </w:rPr>
        <w:t xml:space="preserve"> zapisami </w:t>
      </w:r>
      <w:r w:rsidR="00345971" w:rsidRPr="006D3372">
        <w:rPr>
          <w:rFonts w:ascii="Times New Roman" w:hAnsi="Times New Roman" w:cs="Times New Roman"/>
          <w:sz w:val="19"/>
          <w:szCs w:val="19"/>
        </w:rPr>
        <w:t xml:space="preserve">§ </w:t>
      </w:r>
      <w:r w:rsidR="00D92D96" w:rsidRPr="006D3372">
        <w:rPr>
          <w:rFonts w:ascii="Times New Roman" w:hAnsi="Times New Roman" w:cs="Times New Roman"/>
          <w:sz w:val="19"/>
          <w:szCs w:val="19"/>
        </w:rPr>
        <w:t>78-</w:t>
      </w:r>
      <w:r w:rsidR="00F1433B" w:rsidRPr="006D3372">
        <w:rPr>
          <w:rFonts w:ascii="Times New Roman" w:hAnsi="Times New Roman" w:cs="Times New Roman"/>
          <w:sz w:val="19"/>
          <w:szCs w:val="19"/>
        </w:rPr>
        <w:t>82  ww. rozporządzenia</w:t>
      </w:r>
      <w:r w:rsidR="00CE432D" w:rsidRPr="006D3372">
        <w:rPr>
          <w:rFonts w:ascii="Times New Roman" w:hAnsi="Times New Roman" w:cs="Times New Roman"/>
          <w:sz w:val="19"/>
          <w:szCs w:val="19"/>
        </w:rPr>
        <w:t xml:space="preserve"> oraz uwzględniać wytyczne Banku, w</w:t>
      </w:r>
      <w:r w:rsidR="00A97AD6" w:rsidRPr="006D3372">
        <w:rPr>
          <w:rFonts w:ascii="Times New Roman" w:hAnsi="Times New Roman" w:cs="Times New Roman"/>
          <w:sz w:val="19"/>
          <w:szCs w:val="19"/>
        </w:rPr>
        <w:t xml:space="preserve"> szczególności</w:t>
      </w:r>
      <w:r w:rsidRPr="006D3372">
        <w:rPr>
          <w:rFonts w:ascii="Times New Roman" w:hAnsi="Times New Roman" w:cs="Times New Roman"/>
          <w:sz w:val="19"/>
          <w:szCs w:val="19"/>
        </w:rPr>
        <w:t>:</w:t>
      </w:r>
    </w:p>
    <w:p w14:paraId="703274B9" w14:textId="7A538E44" w:rsidR="0034776C" w:rsidRPr="006D3372" w:rsidRDefault="0034776C" w:rsidP="003E415D">
      <w:pPr>
        <w:pStyle w:val="Tekstpodstawowywcity2"/>
        <w:numPr>
          <w:ilvl w:val="3"/>
          <w:numId w:val="5"/>
        </w:numPr>
        <w:tabs>
          <w:tab w:val="clear" w:pos="2841"/>
        </w:tabs>
        <w:spacing w:before="40"/>
        <w:ind w:left="851" w:hanging="283"/>
        <w:rPr>
          <w:rFonts w:ascii="Times New Roman" w:hAnsi="Times New Roman"/>
          <w:sz w:val="20"/>
          <w:szCs w:val="20"/>
        </w:rPr>
      </w:pPr>
      <w:r w:rsidRPr="006D3372">
        <w:rPr>
          <w:rFonts w:ascii="Times New Roman" w:hAnsi="Times New Roman"/>
          <w:sz w:val="20"/>
          <w:szCs w:val="20"/>
        </w:rPr>
        <w:t xml:space="preserve">opis stanu prawnego nieruchomości w oparciu m.in. o księgę wieczystą z uwzględnieniem służebności i wzmianek, ewidencję gruntów i budynków; </w:t>
      </w:r>
    </w:p>
    <w:p w14:paraId="643A489B" w14:textId="3686E601" w:rsidR="00FD037B" w:rsidRPr="006D3372" w:rsidRDefault="00FD037B" w:rsidP="003E415D">
      <w:pPr>
        <w:pStyle w:val="Tekstpodstawowywcity2"/>
        <w:numPr>
          <w:ilvl w:val="3"/>
          <w:numId w:val="5"/>
        </w:numPr>
        <w:tabs>
          <w:tab w:val="clear" w:pos="2841"/>
        </w:tabs>
        <w:spacing w:before="40"/>
        <w:ind w:left="851" w:hanging="283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19"/>
          <w:szCs w:val="19"/>
        </w:rPr>
        <w:t xml:space="preserve">opis dostępu wycenianej nieruchomości do drogi publicznej z jednoznacznym wskazaniem </w:t>
      </w:r>
      <w:r w:rsidR="00CC55E8" w:rsidRPr="006D3372">
        <w:rPr>
          <w:rFonts w:ascii="Times New Roman" w:hAnsi="Times New Roman"/>
          <w:sz w:val="19"/>
          <w:szCs w:val="19"/>
        </w:rPr>
        <w:t xml:space="preserve">jak </w:t>
      </w:r>
      <w:r w:rsidRPr="006D3372">
        <w:rPr>
          <w:rFonts w:ascii="Times New Roman" w:hAnsi="Times New Roman"/>
          <w:sz w:val="19"/>
          <w:szCs w:val="19"/>
        </w:rPr>
        <w:t>jest on prawnie uregulowany (</w:t>
      </w:r>
      <w:r w:rsidR="0020550B" w:rsidRPr="006D3372">
        <w:rPr>
          <w:rFonts w:ascii="Times New Roman" w:hAnsi="Times New Roman"/>
          <w:sz w:val="19"/>
          <w:szCs w:val="19"/>
        </w:rPr>
        <w:t xml:space="preserve">np.: </w:t>
      </w:r>
      <w:r w:rsidRPr="006D3372">
        <w:rPr>
          <w:rFonts w:ascii="Times New Roman" w:hAnsi="Times New Roman"/>
          <w:sz w:val="19"/>
          <w:szCs w:val="19"/>
        </w:rPr>
        <w:t>bezpośredni dostęp, udział w drodze wewnętrznej, służebność</w:t>
      </w:r>
      <w:r w:rsidR="0020550B" w:rsidRPr="006D3372">
        <w:rPr>
          <w:rFonts w:ascii="Times New Roman" w:hAnsi="Times New Roman"/>
          <w:sz w:val="19"/>
          <w:szCs w:val="19"/>
        </w:rPr>
        <w:t>)</w:t>
      </w:r>
      <w:r w:rsidR="00CC55E8" w:rsidRPr="006D3372">
        <w:rPr>
          <w:rFonts w:ascii="Times New Roman" w:hAnsi="Times New Roman"/>
          <w:sz w:val="19"/>
          <w:szCs w:val="19"/>
        </w:rPr>
        <w:t xml:space="preserve"> i jak jest faktycznie realizowany</w:t>
      </w:r>
      <w:r w:rsidRPr="006D3372">
        <w:rPr>
          <w:rFonts w:ascii="Times New Roman" w:hAnsi="Times New Roman"/>
          <w:sz w:val="19"/>
          <w:szCs w:val="19"/>
        </w:rPr>
        <w:t>;</w:t>
      </w:r>
    </w:p>
    <w:p w14:paraId="2B005C12" w14:textId="114157A4" w:rsidR="00FD037B" w:rsidRPr="006D3372" w:rsidRDefault="00FD037B" w:rsidP="003E415D">
      <w:pPr>
        <w:pStyle w:val="Tekstpodstawowywcity2"/>
        <w:numPr>
          <w:ilvl w:val="3"/>
          <w:numId w:val="5"/>
        </w:numPr>
        <w:tabs>
          <w:tab w:val="clear" w:pos="2841"/>
        </w:tabs>
        <w:spacing w:before="40"/>
        <w:ind w:left="851" w:hanging="283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19"/>
          <w:szCs w:val="19"/>
        </w:rPr>
        <w:t xml:space="preserve">opis stanu technicznego i użytkowego nieruchomości wraz z oceną stopnia zużycia technicznego, ekonomicznego </w:t>
      </w:r>
      <w:r w:rsidR="00DD7C2D" w:rsidRPr="006D3372">
        <w:rPr>
          <w:rFonts w:ascii="Times New Roman" w:hAnsi="Times New Roman"/>
          <w:sz w:val="19"/>
          <w:szCs w:val="19"/>
        </w:rPr>
        <w:br/>
      </w:r>
      <w:r w:rsidRPr="006D3372">
        <w:rPr>
          <w:rFonts w:ascii="Times New Roman" w:hAnsi="Times New Roman"/>
          <w:sz w:val="19"/>
          <w:szCs w:val="19"/>
        </w:rPr>
        <w:t>i funkcjonalnego nieruchomości;</w:t>
      </w:r>
    </w:p>
    <w:p w14:paraId="47D8D862" w14:textId="659D0277" w:rsidR="00FD037B" w:rsidRPr="004E1936" w:rsidRDefault="00B970B8" w:rsidP="009F35B3">
      <w:pPr>
        <w:pStyle w:val="Tekstpodstawowywcity2"/>
        <w:numPr>
          <w:ilvl w:val="3"/>
          <w:numId w:val="5"/>
        </w:numPr>
        <w:tabs>
          <w:tab w:val="clear" w:pos="2841"/>
        </w:tabs>
        <w:spacing w:before="40"/>
        <w:ind w:left="719" w:hanging="283"/>
        <w:rPr>
          <w:rFonts w:ascii="Times New Roman" w:hAnsi="Times New Roman"/>
          <w:sz w:val="19"/>
          <w:szCs w:val="19"/>
        </w:rPr>
      </w:pPr>
      <w:bookmarkStart w:id="1" w:name="_Hlk185420906"/>
      <w:r w:rsidRPr="00642D93">
        <w:rPr>
          <w:rFonts w:ascii="Times New Roman" w:hAnsi="Times New Roman"/>
          <w:b/>
          <w:bCs/>
          <w:sz w:val="19"/>
          <w:szCs w:val="19"/>
        </w:rPr>
        <w:t xml:space="preserve">opis czynników </w:t>
      </w:r>
      <w:proofErr w:type="spellStart"/>
      <w:r w:rsidRPr="00642D93">
        <w:rPr>
          <w:rFonts w:ascii="Times New Roman" w:hAnsi="Times New Roman"/>
          <w:b/>
          <w:bCs/>
          <w:sz w:val="19"/>
          <w:szCs w:val="19"/>
        </w:rPr>
        <w:t>ryzyk</w:t>
      </w:r>
      <w:proofErr w:type="spellEnd"/>
      <w:r w:rsidRPr="00642D93">
        <w:rPr>
          <w:rFonts w:ascii="Times New Roman" w:hAnsi="Times New Roman"/>
          <w:b/>
          <w:bCs/>
          <w:sz w:val="19"/>
          <w:szCs w:val="19"/>
        </w:rPr>
        <w:t xml:space="preserve"> ESG</w:t>
      </w:r>
      <w:r w:rsidRPr="004E1936">
        <w:rPr>
          <w:rFonts w:ascii="Times New Roman" w:hAnsi="Times New Roman"/>
          <w:sz w:val="19"/>
          <w:szCs w:val="19"/>
        </w:rPr>
        <w:t xml:space="preserve">, które mają wpływ na wartość nieruchomości </w:t>
      </w:r>
      <w:r w:rsidR="00FD037B" w:rsidRPr="004E1936">
        <w:rPr>
          <w:rFonts w:ascii="Times New Roman" w:hAnsi="Times New Roman"/>
          <w:sz w:val="19"/>
          <w:szCs w:val="19"/>
        </w:rPr>
        <w:t>w tym</w:t>
      </w:r>
      <w:r w:rsidRPr="004E1936">
        <w:rPr>
          <w:rFonts w:ascii="Times New Roman" w:hAnsi="Times New Roman"/>
          <w:sz w:val="19"/>
          <w:szCs w:val="19"/>
        </w:rPr>
        <w:t xml:space="preserve"> w </w:t>
      </w:r>
      <w:r w:rsidR="009F35B3" w:rsidRPr="004E1936">
        <w:rPr>
          <w:rFonts w:ascii="Times New Roman" w:hAnsi="Times New Roman"/>
          <w:sz w:val="19"/>
          <w:szCs w:val="19"/>
        </w:rPr>
        <w:t xml:space="preserve">np. </w:t>
      </w:r>
      <w:r w:rsidRPr="004E1936">
        <w:rPr>
          <w:rFonts w:ascii="Times New Roman" w:hAnsi="Times New Roman"/>
          <w:sz w:val="19"/>
          <w:szCs w:val="19"/>
        </w:rPr>
        <w:t>:</w:t>
      </w:r>
      <w:r w:rsidR="009F35B3" w:rsidRPr="004E1936">
        <w:rPr>
          <w:rFonts w:ascii="Times New Roman" w:hAnsi="Times New Roman"/>
          <w:sz w:val="19"/>
          <w:szCs w:val="19"/>
        </w:rPr>
        <w:t xml:space="preserve"> </w:t>
      </w:r>
      <w:r w:rsidRPr="004E1936">
        <w:rPr>
          <w:rFonts w:ascii="Times New Roman" w:hAnsi="Times New Roman"/>
          <w:sz w:val="19"/>
          <w:szCs w:val="19"/>
        </w:rPr>
        <w:t>czynników środowiskowych,</w:t>
      </w:r>
      <w:r w:rsidR="009F35B3" w:rsidRPr="004E1936">
        <w:rPr>
          <w:rFonts w:ascii="Times New Roman" w:hAnsi="Times New Roman"/>
          <w:sz w:val="19"/>
          <w:szCs w:val="19"/>
        </w:rPr>
        <w:t xml:space="preserve"> </w:t>
      </w:r>
      <w:r w:rsidRPr="004E1936">
        <w:rPr>
          <w:rFonts w:ascii="Times New Roman" w:hAnsi="Times New Roman"/>
          <w:sz w:val="19"/>
          <w:szCs w:val="19"/>
        </w:rPr>
        <w:t>informacj</w:t>
      </w:r>
      <w:r w:rsidR="009F35B3" w:rsidRPr="004E1936">
        <w:rPr>
          <w:rFonts w:ascii="Times New Roman" w:hAnsi="Times New Roman"/>
          <w:sz w:val="19"/>
          <w:szCs w:val="19"/>
        </w:rPr>
        <w:t>a</w:t>
      </w:r>
      <w:r w:rsidRPr="004E1936">
        <w:rPr>
          <w:rFonts w:ascii="Times New Roman" w:hAnsi="Times New Roman"/>
          <w:sz w:val="19"/>
          <w:szCs w:val="19"/>
        </w:rPr>
        <w:t xml:space="preserve"> o standardzie energetycznym oraz klasyfikacji energetycznej zabudowań, posiadan</w:t>
      </w:r>
      <w:r w:rsidR="00A56ED6">
        <w:rPr>
          <w:rFonts w:ascii="Times New Roman" w:hAnsi="Times New Roman"/>
          <w:sz w:val="19"/>
          <w:szCs w:val="19"/>
        </w:rPr>
        <w:t>e</w:t>
      </w:r>
      <w:r w:rsidRPr="004E1936">
        <w:rPr>
          <w:rFonts w:ascii="Times New Roman" w:hAnsi="Times New Roman"/>
          <w:sz w:val="19"/>
          <w:szCs w:val="19"/>
        </w:rPr>
        <w:t xml:space="preserve"> świadectwa charakterystyki energetycznej oraz  certyfikat</w:t>
      </w:r>
      <w:r w:rsidR="00A56ED6">
        <w:rPr>
          <w:rFonts w:ascii="Times New Roman" w:hAnsi="Times New Roman"/>
          <w:sz w:val="19"/>
          <w:szCs w:val="19"/>
        </w:rPr>
        <w:t>y</w:t>
      </w:r>
      <w:r w:rsidRPr="004E1936">
        <w:rPr>
          <w:rFonts w:ascii="Times New Roman" w:hAnsi="Times New Roman"/>
          <w:sz w:val="19"/>
          <w:szCs w:val="19"/>
        </w:rPr>
        <w:t xml:space="preserve"> potwierdzające zgodność obiektu ze standardami środowiskowymi,</w:t>
      </w:r>
      <w:r w:rsidR="009F35B3" w:rsidRPr="004E1936">
        <w:rPr>
          <w:rFonts w:ascii="Times New Roman" w:hAnsi="Times New Roman"/>
          <w:sz w:val="19"/>
          <w:szCs w:val="19"/>
        </w:rPr>
        <w:t xml:space="preserve"> </w:t>
      </w:r>
      <w:r w:rsidRPr="004E1936">
        <w:rPr>
          <w:rFonts w:ascii="Times New Roman" w:hAnsi="Times New Roman"/>
          <w:sz w:val="19"/>
          <w:szCs w:val="19"/>
        </w:rPr>
        <w:t xml:space="preserve"> informacj</w:t>
      </w:r>
      <w:r w:rsidR="009F35B3" w:rsidRPr="004E1936">
        <w:rPr>
          <w:rFonts w:ascii="Times New Roman" w:hAnsi="Times New Roman"/>
          <w:sz w:val="19"/>
          <w:szCs w:val="19"/>
        </w:rPr>
        <w:t>a</w:t>
      </w:r>
      <w:r w:rsidRPr="004E1936">
        <w:rPr>
          <w:rFonts w:ascii="Times New Roman" w:hAnsi="Times New Roman"/>
          <w:sz w:val="19"/>
          <w:szCs w:val="19"/>
        </w:rPr>
        <w:t xml:space="preserve"> o wykorzystaniu odnawialnych źródeł energii</w:t>
      </w:r>
      <w:r w:rsidR="009F35B3" w:rsidRPr="004E1936">
        <w:rPr>
          <w:rFonts w:ascii="Times New Roman" w:hAnsi="Times New Roman"/>
          <w:sz w:val="19"/>
          <w:szCs w:val="19"/>
        </w:rPr>
        <w:t>, wskazanie występowania r</w:t>
      </w:r>
      <w:r w:rsidRPr="004E1936">
        <w:rPr>
          <w:rFonts w:ascii="Times New Roman" w:hAnsi="Times New Roman"/>
          <w:sz w:val="19"/>
          <w:szCs w:val="19"/>
        </w:rPr>
        <w:t>yzyk</w:t>
      </w:r>
      <w:r w:rsidR="009F35B3" w:rsidRPr="004E1936">
        <w:rPr>
          <w:rFonts w:ascii="Times New Roman" w:hAnsi="Times New Roman"/>
          <w:sz w:val="19"/>
          <w:szCs w:val="19"/>
        </w:rPr>
        <w:t xml:space="preserve">a </w:t>
      </w:r>
      <w:r w:rsidRPr="004E1936">
        <w:rPr>
          <w:rFonts w:ascii="Times New Roman" w:hAnsi="Times New Roman"/>
          <w:sz w:val="19"/>
          <w:szCs w:val="19"/>
        </w:rPr>
        <w:t>wynikając</w:t>
      </w:r>
      <w:r w:rsidR="009F35B3" w:rsidRPr="004E1936">
        <w:rPr>
          <w:rFonts w:ascii="Times New Roman" w:hAnsi="Times New Roman"/>
          <w:sz w:val="19"/>
          <w:szCs w:val="19"/>
        </w:rPr>
        <w:t xml:space="preserve">ego </w:t>
      </w:r>
      <w:r w:rsidRPr="004E1936">
        <w:rPr>
          <w:rFonts w:ascii="Times New Roman" w:hAnsi="Times New Roman"/>
          <w:sz w:val="19"/>
          <w:szCs w:val="19"/>
        </w:rPr>
        <w:t>z fizycznych skutków zmiany klimatu</w:t>
      </w:r>
      <w:r w:rsidR="009F35B3" w:rsidRPr="004E1936">
        <w:rPr>
          <w:rFonts w:ascii="Times New Roman" w:hAnsi="Times New Roman"/>
          <w:sz w:val="19"/>
          <w:szCs w:val="19"/>
        </w:rPr>
        <w:t xml:space="preserve">, </w:t>
      </w:r>
      <w:r w:rsidR="00A56ED6" w:rsidRPr="007678D1">
        <w:rPr>
          <w:rFonts w:ascii="Times New Roman" w:hAnsi="Times New Roman"/>
          <w:sz w:val="19"/>
          <w:szCs w:val="19"/>
        </w:rPr>
        <w:t>koszty adaptacji nieruchomości do niskoemisyjnej eksploatacji i odporności na zmiany klimatu</w:t>
      </w:r>
      <w:r w:rsidRPr="007678D1">
        <w:rPr>
          <w:rFonts w:ascii="Times New Roman" w:hAnsi="Times New Roman"/>
          <w:sz w:val="19"/>
          <w:szCs w:val="19"/>
        </w:rPr>
        <w:t xml:space="preserve">, </w:t>
      </w:r>
      <w:r w:rsidR="00A56ED6" w:rsidRPr="007678D1">
        <w:rPr>
          <w:rFonts w:ascii="Times New Roman" w:hAnsi="Times New Roman"/>
          <w:sz w:val="19"/>
          <w:szCs w:val="19"/>
        </w:rPr>
        <w:t xml:space="preserve">rodzaj i stopień zanieczyszczenia środowiska, występowanie na nieruchomości lub w jej bezpośrednim sąsiedztwie szkodliwych substancji, ryzyko zmiany preferencji konsumenckich w związku z czynnikami ESG, wpływ nieruchomości na społeczność lokalną, </w:t>
      </w:r>
      <w:r w:rsidRPr="007678D1">
        <w:rPr>
          <w:rFonts w:ascii="Times New Roman" w:hAnsi="Times New Roman"/>
          <w:sz w:val="19"/>
          <w:szCs w:val="19"/>
        </w:rPr>
        <w:t>ryzyka odpowiedzialności prawnej za przyczynianie się do zmiany klimatu</w:t>
      </w:r>
      <w:bookmarkEnd w:id="1"/>
      <w:r w:rsidR="00A56ED6" w:rsidRPr="007678D1">
        <w:rPr>
          <w:rFonts w:ascii="Times New Roman" w:hAnsi="Times New Roman"/>
          <w:sz w:val="19"/>
          <w:szCs w:val="19"/>
        </w:rPr>
        <w:t xml:space="preserve">, ryzyko związane z szeroko rozumianymi zmianami rynku w odniesieniu do czynników </w:t>
      </w:r>
      <w:r w:rsidR="00A56ED6" w:rsidRPr="001D0DCB">
        <w:rPr>
          <w:rFonts w:ascii="Times New Roman" w:hAnsi="Times New Roman"/>
          <w:color w:val="FF0000"/>
          <w:sz w:val="19"/>
          <w:szCs w:val="19"/>
        </w:rPr>
        <w:t>ESG</w:t>
      </w:r>
      <w:r w:rsidR="009F35B3" w:rsidRPr="004E1936">
        <w:rPr>
          <w:rFonts w:ascii="Times New Roman" w:hAnsi="Times New Roman"/>
          <w:sz w:val="19"/>
          <w:szCs w:val="19"/>
        </w:rPr>
        <w:t>;</w:t>
      </w:r>
    </w:p>
    <w:p w14:paraId="049AAEC6" w14:textId="6D93E630" w:rsidR="00FD037B" w:rsidRPr="006D3372" w:rsidRDefault="00FD037B" w:rsidP="003E415D">
      <w:pPr>
        <w:numPr>
          <w:ilvl w:val="3"/>
          <w:numId w:val="5"/>
        </w:numPr>
        <w:tabs>
          <w:tab w:val="clear" w:pos="2841"/>
        </w:tabs>
        <w:spacing w:before="40" w:after="0" w:line="240" w:lineRule="auto"/>
        <w:ind w:left="851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zamieszczenie w operacie baz danych transakcyjnych dotyczących nieruchomości podobnych wykorzystanych do porównań, zawierających dane: datę transakcji, cenę transakcyjną (łączną i jednostkową), powierzchnię gruntu, powierzchnię użytkową budynku</w:t>
      </w:r>
      <w:r w:rsidR="00CC55E8" w:rsidRPr="006D3372">
        <w:rPr>
          <w:rStyle w:val="Odwoanieprzypisudolnego"/>
          <w:rFonts w:ascii="Times New Roman" w:hAnsi="Times New Roman" w:cs="Times New Roman"/>
          <w:strike/>
          <w:sz w:val="19"/>
          <w:szCs w:val="19"/>
        </w:rPr>
        <w:footnoteReference w:id="2"/>
      </w:r>
      <w:r w:rsidRPr="006D3372">
        <w:rPr>
          <w:rFonts w:ascii="Times New Roman" w:hAnsi="Times New Roman" w:cs="Times New Roman"/>
          <w:sz w:val="19"/>
          <w:szCs w:val="19"/>
        </w:rPr>
        <w:t>/lokalu, lokalizację nieruchomości</w:t>
      </w:r>
      <w:r w:rsidR="0020550B" w:rsidRPr="006D3372">
        <w:rPr>
          <w:rFonts w:ascii="Times New Roman" w:hAnsi="Times New Roman" w:cs="Times New Roman"/>
          <w:sz w:val="19"/>
          <w:szCs w:val="19"/>
        </w:rPr>
        <w:t>;</w:t>
      </w:r>
    </w:p>
    <w:p w14:paraId="5C4D6420" w14:textId="77777777" w:rsidR="006D3372" w:rsidRPr="006D3372" w:rsidRDefault="00FD037B" w:rsidP="003E415D">
      <w:pPr>
        <w:pStyle w:val="Tekstpodstawowywcity2"/>
        <w:numPr>
          <w:ilvl w:val="3"/>
          <w:numId w:val="5"/>
        </w:numPr>
        <w:tabs>
          <w:tab w:val="clear" w:pos="2841"/>
          <w:tab w:val="num" w:pos="2444"/>
        </w:tabs>
        <w:spacing w:before="40"/>
        <w:ind w:left="851" w:hanging="284"/>
        <w:rPr>
          <w:rFonts w:ascii="Times New Roman" w:hAnsi="Times New Roman"/>
          <w:sz w:val="20"/>
          <w:szCs w:val="20"/>
        </w:rPr>
      </w:pPr>
      <w:r w:rsidRPr="006D3372">
        <w:rPr>
          <w:rFonts w:ascii="Times New Roman" w:hAnsi="Times New Roman"/>
          <w:sz w:val="19"/>
          <w:szCs w:val="19"/>
        </w:rPr>
        <w:t>przedstawienie obliczeń wartości nieruchomości w sposób pozwalający na sprawdzenie całego procesu wyceny wraz z uzasadnieniem przyjętych założeń i poziomu parametrów</w:t>
      </w:r>
      <w:r w:rsidR="003B05E1" w:rsidRPr="006D3372">
        <w:rPr>
          <w:rFonts w:ascii="Times New Roman" w:hAnsi="Times New Roman"/>
          <w:sz w:val="19"/>
          <w:szCs w:val="19"/>
        </w:rPr>
        <w:t>;</w:t>
      </w:r>
    </w:p>
    <w:p w14:paraId="51DBA607" w14:textId="06894CA1" w:rsidR="0034776C" w:rsidRPr="006D3372" w:rsidRDefault="0034776C" w:rsidP="003E415D">
      <w:pPr>
        <w:pStyle w:val="Tekstpodstawowywcity2"/>
        <w:numPr>
          <w:ilvl w:val="3"/>
          <w:numId w:val="5"/>
        </w:numPr>
        <w:tabs>
          <w:tab w:val="clear" w:pos="2841"/>
          <w:tab w:val="num" w:pos="2444"/>
        </w:tabs>
        <w:spacing w:before="40"/>
        <w:ind w:left="851" w:hanging="284"/>
        <w:rPr>
          <w:rFonts w:ascii="Times New Roman" w:hAnsi="Times New Roman"/>
          <w:sz w:val="20"/>
          <w:szCs w:val="20"/>
        </w:rPr>
      </w:pPr>
      <w:r w:rsidRPr="006D3372">
        <w:rPr>
          <w:rFonts w:ascii="Times New Roman" w:hAnsi="Times New Roman"/>
          <w:sz w:val="20"/>
          <w:szCs w:val="20"/>
        </w:rPr>
        <w:t>analizę lokalnego rynku nieruchomości ze względu na wyceniany typ nieruchomości obejmującą:</w:t>
      </w:r>
    </w:p>
    <w:p w14:paraId="727D2C5D" w14:textId="77777777" w:rsidR="0034776C" w:rsidRPr="006D3372" w:rsidRDefault="0034776C" w:rsidP="003E415D">
      <w:pPr>
        <w:pStyle w:val="Tekstpodstawowywcity2"/>
        <w:numPr>
          <w:ilvl w:val="0"/>
          <w:numId w:val="6"/>
        </w:numPr>
        <w:tabs>
          <w:tab w:val="clear" w:pos="284"/>
        </w:tabs>
        <w:spacing w:before="40"/>
        <w:ind w:left="1134"/>
        <w:rPr>
          <w:rFonts w:ascii="Times New Roman" w:hAnsi="Times New Roman"/>
          <w:sz w:val="20"/>
          <w:szCs w:val="20"/>
        </w:rPr>
      </w:pPr>
      <w:r w:rsidRPr="006D3372">
        <w:rPr>
          <w:rFonts w:ascii="Times New Roman" w:hAnsi="Times New Roman"/>
          <w:sz w:val="20"/>
          <w:szCs w:val="20"/>
        </w:rPr>
        <w:t>częstotliwość transakcji tego typu nieruchomościami,</w:t>
      </w:r>
    </w:p>
    <w:p w14:paraId="471BD31C" w14:textId="77777777" w:rsidR="0034776C" w:rsidRPr="006D3372" w:rsidRDefault="0034776C" w:rsidP="003E415D">
      <w:pPr>
        <w:pStyle w:val="Tekstpodstawowywcity2"/>
        <w:numPr>
          <w:ilvl w:val="0"/>
          <w:numId w:val="6"/>
        </w:numPr>
        <w:tabs>
          <w:tab w:val="clear" w:pos="284"/>
        </w:tabs>
        <w:spacing w:before="40"/>
        <w:ind w:left="1134"/>
        <w:rPr>
          <w:rFonts w:ascii="Times New Roman" w:hAnsi="Times New Roman"/>
          <w:sz w:val="20"/>
          <w:szCs w:val="20"/>
        </w:rPr>
      </w:pPr>
      <w:r w:rsidRPr="006D3372">
        <w:rPr>
          <w:rFonts w:ascii="Times New Roman" w:hAnsi="Times New Roman"/>
          <w:sz w:val="20"/>
          <w:szCs w:val="20"/>
        </w:rPr>
        <w:t>średnie ceny transakcyjne / stawki czynszu uzyskiwane przy sprzedaży albo wynajęciu nieruchomości danego typu,</w:t>
      </w:r>
    </w:p>
    <w:p w14:paraId="30BBFB84" w14:textId="7AFB7033" w:rsidR="0034776C" w:rsidRPr="006D3372" w:rsidRDefault="0034776C" w:rsidP="003E415D">
      <w:pPr>
        <w:pStyle w:val="Tekstpodstawowywcity2"/>
        <w:numPr>
          <w:ilvl w:val="0"/>
          <w:numId w:val="6"/>
        </w:numPr>
        <w:tabs>
          <w:tab w:val="clear" w:pos="284"/>
        </w:tabs>
        <w:spacing w:before="40"/>
        <w:ind w:left="1134"/>
        <w:rPr>
          <w:rFonts w:ascii="Times New Roman" w:hAnsi="Times New Roman"/>
          <w:sz w:val="20"/>
          <w:szCs w:val="20"/>
        </w:rPr>
      </w:pPr>
      <w:r w:rsidRPr="006D3372">
        <w:rPr>
          <w:rFonts w:ascii="Times New Roman" w:hAnsi="Times New Roman"/>
          <w:sz w:val="20"/>
          <w:szCs w:val="20"/>
        </w:rPr>
        <w:t>średni okres ekspozycji danego typu nieruchomości (od wystawienia oferty do sprzedaży);</w:t>
      </w:r>
    </w:p>
    <w:p w14:paraId="495A534A" w14:textId="1DCC71E2" w:rsidR="00FD037B" w:rsidRPr="006D3372" w:rsidRDefault="00FD037B" w:rsidP="003E415D">
      <w:pPr>
        <w:pStyle w:val="Akapitzlist"/>
        <w:numPr>
          <w:ilvl w:val="2"/>
          <w:numId w:val="5"/>
        </w:numPr>
        <w:tabs>
          <w:tab w:val="clear" w:pos="2846"/>
        </w:tabs>
        <w:spacing w:before="60" w:after="0" w:line="240" w:lineRule="auto"/>
        <w:ind w:left="567" w:hanging="425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Operat szacunkowy powinien zawierać opinię dotyczącą przydatności nieruchomości do zabezpieczenia na niej wierzytelności Banku</w:t>
      </w:r>
      <w:r w:rsidR="00402B1D" w:rsidRPr="006D3372">
        <w:rPr>
          <w:rFonts w:ascii="Times New Roman" w:hAnsi="Times New Roman" w:cs="Times New Roman"/>
          <w:sz w:val="19"/>
          <w:szCs w:val="19"/>
        </w:rPr>
        <w:t xml:space="preserve"> dla aktualnego jej sposobu użytkowania oraz jej potencjału i występujących ograniczeń</w:t>
      </w:r>
      <w:r w:rsidR="00A97AD6" w:rsidRPr="006D3372">
        <w:rPr>
          <w:rFonts w:ascii="Times New Roman" w:hAnsi="Times New Roman" w:cs="Times New Roman"/>
          <w:sz w:val="19"/>
          <w:szCs w:val="19"/>
        </w:rPr>
        <w:t>.</w:t>
      </w:r>
      <w:r w:rsidRPr="006D3372">
        <w:rPr>
          <w:rFonts w:ascii="Times New Roman" w:hAnsi="Times New Roman" w:cs="Times New Roman"/>
          <w:sz w:val="19"/>
          <w:szCs w:val="19"/>
        </w:rPr>
        <w:t xml:space="preserve"> </w:t>
      </w:r>
      <w:r w:rsidR="0030656A" w:rsidRPr="006D3372">
        <w:rPr>
          <w:rFonts w:ascii="Times New Roman" w:hAnsi="Times New Roman" w:cs="Times New Roman"/>
          <w:sz w:val="19"/>
          <w:szCs w:val="19"/>
        </w:rPr>
        <w:br/>
      </w:r>
      <w:r w:rsidR="00A97AD6" w:rsidRPr="006D3372">
        <w:rPr>
          <w:rFonts w:ascii="Times New Roman" w:hAnsi="Times New Roman" w:cs="Times New Roman"/>
          <w:sz w:val="19"/>
          <w:szCs w:val="19"/>
        </w:rPr>
        <w:t>W</w:t>
      </w:r>
      <w:r w:rsidRPr="006D3372">
        <w:rPr>
          <w:rFonts w:ascii="Times New Roman" w:hAnsi="Times New Roman" w:cs="Times New Roman"/>
          <w:sz w:val="19"/>
          <w:szCs w:val="19"/>
        </w:rPr>
        <w:t xml:space="preserve"> szczególności rzeczoznawca powinien wskazać obszary ryzyka dla Banku, w tym pełen zakres występujących obciążeń na nieruchomości</w:t>
      </w:r>
      <w:r w:rsidR="00A97AD6" w:rsidRPr="006D3372">
        <w:rPr>
          <w:rFonts w:ascii="Times New Roman" w:hAnsi="Times New Roman" w:cs="Times New Roman"/>
          <w:sz w:val="19"/>
          <w:szCs w:val="19"/>
        </w:rPr>
        <w:t xml:space="preserve"> oraz </w:t>
      </w:r>
      <w:r w:rsidR="00A97AD6" w:rsidRPr="006D3372">
        <w:rPr>
          <w:rFonts w:ascii="Times New Roman" w:hAnsi="Times New Roman" w:cs="Times New Roman"/>
          <w:b/>
          <w:bCs/>
          <w:sz w:val="19"/>
          <w:szCs w:val="19"/>
        </w:rPr>
        <w:t>średni okres ekspozycji danego typu nieruchomości</w:t>
      </w:r>
      <w:r w:rsidRPr="006D3372">
        <w:rPr>
          <w:rFonts w:ascii="Times New Roman" w:hAnsi="Times New Roman" w:cs="Times New Roman"/>
          <w:b/>
          <w:bCs/>
          <w:sz w:val="19"/>
          <w:szCs w:val="19"/>
        </w:rPr>
        <w:t>.</w:t>
      </w:r>
      <w:r w:rsidRPr="006D3372">
        <w:rPr>
          <w:rFonts w:ascii="Times New Roman" w:hAnsi="Times New Roman" w:cs="Times New Roman"/>
          <w:sz w:val="19"/>
          <w:szCs w:val="19"/>
        </w:rPr>
        <w:t xml:space="preserve"> Opinia powinna być zgodna </w:t>
      </w:r>
      <w:r w:rsidR="006804E2" w:rsidRPr="006D3372">
        <w:rPr>
          <w:rFonts w:ascii="Times New Roman" w:hAnsi="Times New Roman" w:cs="Times New Roman"/>
          <w:sz w:val="19"/>
          <w:szCs w:val="19"/>
        </w:rPr>
        <w:br/>
      </w:r>
      <w:r w:rsidRPr="006D3372">
        <w:rPr>
          <w:rFonts w:ascii="Times New Roman" w:hAnsi="Times New Roman" w:cs="Times New Roman"/>
          <w:sz w:val="19"/>
          <w:szCs w:val="19"/>
        </w:rPr>
        <w:t xml:space="preserve">z wymogami pkt 4.3. </w:t>
      </w:r>
      <w:r w:rsidR="001B6B22" w:rsidRPr="006D3372">
        <w:rPr>
          <w:rFonts w:ascii="Times New Roman" w:hAnsi="Times New Roman" w:cs="Times New Roman"/>
          <w:sz w:val="19"/>
          <w:szCs w:val="19"/>
        </w:rPr>
        <w:t>s</w:t>
      </w:r>
      <w:r w:rsidRPr="006D3372">
        <w:rPr>
          <w:rFonts w:ascii="Times New Roman" w:hAnsi="Times New Roman" w:cs="Times New Roman"/>
          <w:sz w:val="19"/>
          <w:szCs w:val="19"/>
        </w:rPr>
        <w:t xml:space="preserve">tandardu zawodowego </w:t>
      </w:r>
      <w:r w:rsidR="00D92D96" w:rsidRPr="006D3372">
        <w:rPr>
          <w:rFonts w:ascii="Times New Roman" w:hAnsi="Times New Roman" w:cs="Times New Roman"/>
          <w:sz w:val="19"/>
          <w:szCs w:val="19"/>
        </w:rPr>
        <w:t xml:space="preserve">polskiej federacji stowarzyszeń </w:t>
      </w:r>
      <w:r w:rsidRPr="006D3372">
        <w:rPr>
          <w:rFonts w:ascii="Times New Roman" w:hAnsi="Times New Roman" w:cs="Times New Roman"/>
          <w:sz w:val="19"/>
          <w:szCs w:val="19"/>
        </w:rPr>
        <w:t>rzeczoznawców majątkowych</w:t>
      </w:r>
      <w:r w:rsidR="001B6B22" w:rsidRPr="006D3372">
        <w:rPr>
          <w:rFonts w:ascii="Times New Roman" w:hAnsi="Times New Roman" w:cs="Times New Roman"/>
          <w:sz w:val="19"/>
          <w:szCs w:val="19"/>
        </w:rPr>
        <w:t xml:space="preserve"> KSWS </w:t>
      </w:r>
      <w:r w:rsidRPr="006D3372">
        <w:rPr>
          <w:rFonts w:ascii="Times New Roman" w:hAnsi="Times New Roman" w:cs="Times New Roman"/>
          <w:sz w:val="19"/>
          <w:szCs w:val="19"/>
        </w:rPr>
        <w:t>Wycena dla zabezpieczenia wierzytelności w formie załącznika: "Obszary ryzyka związanego z wycenianą nieruchomością".</w:t>
      </w:r>
    </w:p>
    <w:p w14:paraId="4EFC52C0" w14:textId="77777777" w:rsidR="0034776C" w:rsidRPr="006D3372" w:rsidRDefault="0034776C" w:rsidP="003E415D">
      <w:pPr>
        <w:pStyle w:val="Akapitzlist"/>
        <w:numPr>
          <w:ilvl w:val="2"/>
          <w:numId w:val="5"/>
        </w:numPr>
        <w:tabs>
          <w:tab w:val="clear" w:pos="2846"/>
          <w:tab w:val="num" w:pos="719"/>
        </w:tabs>
        <w:spacing w:before="60" w:after="0" w:line="240" w:lineRule="auto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6D3372">
        <w:rPr>
          <w:rFonts w:ascii="Times New Roman" w:hAnsi="Times New Roman" w:cs="Times New Roman"/>
          <w:sz w:val="20"/>
          <w:szCs w:val="20"/>
        </w:rPr>
        <w:t>Do operatu szacunkowego należy dołączyć:</w:t>
      </w:r>
    </w:p>
    <w:p w14:paraId="40FF6192" w14:textId="2D27CFD3" w:rsidR="0034776C" w:rsidRPr="00CE3F95" w:rsidRDefault="0034776C" w:rsidP="003E415D">
      <w:pPr>
        <w:pStyle w:val="Tekstpodstawowywcity2"/>
        <w:numPr>
          <w:ilvl w:val="3"/>
          <w:numId w:val="5"/>
        </w:numPr>
        <w:tabs>
          <w:tab w:val="clear" w:pos="2841"/>
        </w:tabs>
        <w:spacing w:before="40"/>
        <w:ind w:left="851" w:hanging="283"/>
        <w:rPr>
          <w:rFonts w:ascii="Times New Roman" w:hAnsi="Times New Roman"/>
          <w:sz w:val="19"/>
          <w:szCs w:val="19"/>
        </w:rPr>
      </w:pPr>
      <w:r w:rsidRPr="00CE3F95">
        <w:rPr>
          <w:rFonts w:ascii="Times New Roman" w:hAnsi="Times New Roman"/>
          <w:sz w:val="19"/>
          <w:szCs w:val="19"/>
        </w:rPr>
        <w:t>kopie dokumentów stanowiących źródło informacji, dotyczących danej nieruchomości, które wykorzystane zostały przez rzeczoznawcę do sporządzenia operatu szacunkowego, zgodnie z poniżej załączoną tabelą „</w:t>
      </w:r>
      <w:r w:rsidR="008D341C" w:rsidRPr="00CE3F95">
        <w:rPr>
          <w:rFonts w:ascii="Times New Roman" w:hAnsi="Times New Roman"/>
          <w:sz w:val="19"/>
          <w:szCs w:val="19"/>
        </w:rPr>
        <w:t>Załączniki do operatu szacunkowego</w:t>
      </w:r>
      <w:r w:rsidRPr="00CE3F95">
        <w:rPr>
          <w:rFonts w:ascii="Times New Roman" w:hAnsi="Times New Roman"/>
          <w:sz w:val="19"/>
          <w:szCs w:val="19"/>
        </w:rPr>
        <w:t>”</w:t>
      </w:r>
    </w:p>
    <w:p w14:paraId="5C49D06E" w14:textId="236D2966" w:rsidR="00B970B8" w:rsidRPr="00CE3F95" w:rsidRDefault="0034776C" w:rsidP="005F1B8B">
      <w:pPr>
        <w:numPr>
          <w:ilvl w:val="3"/>
          <w:numId w:val="5"/>
        </w:numPr>
        <w:tabs>
          <w:tab w:val="clear" w:pos="2841"/>
        </w:tabs>
        <w:spacing w:before="40" w:after="0" w:line="240" w:lineRule="auto"/>
        <w:ind w:left="851" w:hanging="283"/>
        <w:jc w:val="both"/>
        <w:rPr>
          <w:rFonts w:ascii="Times New Roman" w:hAnsi="Times New Roman" w:cs="Times New Roman"/>
          <w:sz w:val="19"/>
          <w:szCs w:val="19"/>
        </w:rPr>
      </w:pPr>
      <w:r w:rsidRPr="00CE3F95">
        <w:rPr>
          <w:rFonts w:ascii="Times New Roman" w:hAnsi="Times New Roman" w:cs="Times New Roman"/>
          <w:sz w:val="19"/>
          <w:szCs w:val="19"/>
        </w:rPr>
        <w:t>w przypadku, gdy operat jest sporządzony w podejściu dochodowym, metodą zysków - dane finansowe za dwa pełne lata wstecz, okres bieżący</w:t>
      </w:r>
      <w:r w:rsidR="003D3E2C" w:rsidRPr="00CE3F95">
        <w:rPr>
          <w:rFonts w:ascii="Times New Roman" w:hAnsi="Times New Roman" w:cs="Times New Roman"/>
          <w:sz w:val="19"/>
          <w:szCs w:val="19"/>
        </w:rPr>
        <w:t xml:space="preserve"> </w:t>
      </w:r>
      <w:r w:rsidR="00325126" w:rsidRPr="00CE3F95">
        <w:rPr>
          <w:rFonts w:ascii="Times New Roman" w:hAnsi="Times New Roman" w:cs="Times New Roman"/>
          <w:sz w:val="19"/>
          <w:szCs w:val="19"/>
        </w:rPr>
        <w:t>i</w:t>
      </w:r>
      <w:r w:rsidR="003D3E2C" w:rsidRPr="00CE3F95">
        <w:rPr>
          <w:rFonts w:ascii="Times New Roman" w:hAnsi="Times New Roman" w:cs="Times New Roman"/>
          <w:sz w:val="19"/>
          <w:szCs w:val="19"/>
        </w:rPr>
        <w:t>/</w:t>
      </w:r>
      <w:r w:rsidR="00325126" w:rsidRPr="00CE3F95">
        <w:rPr>
          <w:rFonts w:ascii="Times New Roman" w:hAnsi="Times New Roman" w:cs="Times New Roman"/>
          <w:sz w:val="19"/>
          <w:szCs w:val="19"/>
        </w:rPr>
        <w:t>lub</w:t>
      </w:r>
      <w:r w:rsidRPr="00CE3F95">
        <w:rPr>
          <w:rFonts w:ascii="Times New Roman" w:hAnsi="Times New Roman" w:cs="Times New Roman"/>
          <w:sz w:val="19"/>
          <w:szCs w:val="19"/>
        </w:rPr>
        <w:t xml:space="preserve"> prognozy finansowe na trzy pełne lata do przodu.</w:t>
      </w:r>
    </w:p>
    <w:p w14:paraId="20C3C0AB" w14:textId="6179795E" w:rsidR="00FD037B" w:rsidRPr="00B970B8" w:rsidRDefault="00FD037B" w:rsidP="004609AF">
      <w:pPr>
        <w:pStyle w:val="Akapitzlist"/>
        <w:numPr>
          <w:ilvl w:val="0"/>
          <w:numId w:val="10"/>
        </w:numPr>
        <w:tabs>
          <w:tab w:val="clear" w:pos="2846"/>
        </w:tabs>
        <w:spacing w:before="60" w:after="0" w:line="240" w:lineRule="auto"/>
        <w:ind w:left="426" w:hanging="284"/>
        <w:jc w:val="both"/>
        <w:rPr>
          <w:rFonts w:ascii="Times New Roman" w:hAnsi="Times New Roman" w:cs="Times New Roman"/>
          <w:sz w:val="19"/>
          <w:szCs w:val="19"/>
        </w:rPr>
      </w:pPr>
      <w:r w:rsidRPr="00B970B8">
        <w:rPr>
          <w:rFonts w:ascii="Times New Roman" w:hAnsi="Times New Roman" w:cs="Times New Roman"/>
          <w:sz w:val="19"/>
          <w:szCs w:val="19"/>
        </w:rPr>
        <w:t>Wszystkie dokumenty stanowiące załączniki do operatu szacunkowego muszą być czytelne, kompletne, posiadać pieczęci właściwego urzędu i podpisy osób uprawnionych</w:t>
      </w:r>
      <w:r w:rsidR="00402B1D" w:rsidRPr="00B970B8">
        <w:rPr>
          <w:rFonts w:ascii="Times New Roman" w:hAnsi="Times New Roman" w:cs="Times New Roman"/>
          <w:sz w:val="19"/>
          <w:szCs w:val="19"/>
        </w:rPr>
        <w:t>.</w:t>
      </w:r>
    </w:p>
    <w:p w14:paraId="10C31B3E" w14:textId="77777777" w:rsidR="00FD037B" w:rsidRPr="006D3372" w:rsidRDefault="00FD037B" w:rsidP="003E415D">
      <w:pPr>
        <w:pStyle w:val="Akapitzlist"/>
        <w:numPr>
          <w:ilvl w:val="0"/>
          <w:numId w:val="10"/>
        </w:numPr>
        <w:tabs>
          <w:tab w:val="clear" w:pos="2846"/>
        </w:tabs>
        <w:spacing w:before="60" w:after="0" w:line="240" w:lineRule="auto"/>
        <w:ind w:left="567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 xml:space="preserve">Dla wycenianych nieruchomości będących </w:t>
      </w:r>
      <w:r w:rsidRPr="00321A37">
        <w:rPr>
          <w:rFonts w:ascii="Times New Roman" w:hAnsi="Times New Roman" w:cs="Times New Roman"/>
          <w:b/>
          <w:bCs/>
          <w:sz w:val="19"/>
          <w:szCs w:val="19"/>
        </w:rPr>
        <w:t>w trakcie realizacji</w:t>
      </w:r>
      <w:r w:rsidRPr="006D3372">
        <w:rPr>
          <w:rFonts w:ascii="Times New Roman" w:hAnsi="Times New Roman" w:cs="Times New Roman"/>
          <w:sz w:val="19"/>
          <w:szCs w:val="19"/>
        </w:rPr>
        <w:t xml:space="preserve"> należy określić:</w:t>
      </w:r>
    </w:p>
    <w:p w14:paraId="6D485A18" w14:textId="6A462331" w:rsidR="003E17AC" w:rsidRPr="006D3372" w:rsidRDefault="004044A0" w:rsidP="003E415D">
      <w:pPr>
        <w:pStyle w:val="Tekstpodstawowywcity2"/>
        <w:numPr>
          <w:ilvl w:val="0"/>
          <w:numId w:val="7"/>
        </w:numPr>
        <w:tabs>
          <w:tab w:val="clear" w:pos="786"/>
        </w:tabs>
        <w:spacing w:before="40"/>
        <w:ind w:left="851" w:hanging="284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19"/>
          <w:szCs w:val="19"/>
        </w:rPr>
        <w:t>w</w:t>
      </w:r>
      <w:r w:rsidR="003E17AC" w:rsidRPr="006D3372">
        <w:rPr>
          <w:rFonts w:ascii="Times New Roman" w:hAnsi="Times New Roman"/>
          <w:sz w:val="19"/>
          <w:szCs w:val="19"/>
        </w:rPr>
        <w:t>artość aktualną nieruchomości według stanu na dzień wyceny</w:t>
      </w:r>
      <w:r w:rsidRPr="006D3372">
        <w:rPr>
          <w:rFonts w:ascii="Times New Roman" w:hAnsi="Times New Roman"/>
          <w:sz w:val="19"/>
          <w:szCs w:val="19"/>
        </w:rPr>
        <w:t>:</w:t>
      </w:r>
    </w:p>
    <w:p w14:paraId="082FAD40" w14:textId="42785F2D" w:rsidR="00FD037B" w:rsidRPr="006D3372" w:rsidRDefault="003E17AC" w:rsidP="003E415D">
      <w:pPr>
        <w:pStyle w:val="Tekstpodstawowywcity2"/>
        <w:numPr>
          <w:ilvl w:val="0"/>
          <w:numId w:val="9"/>
        </w:numPr>
        <w:ind w:left="993" w:hanging="284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19"/>
          <w:szCs w:val="19"/>
        </w:rPr>
        <w:t xml:space="preserve">w przypadku inwestycji na nieruchomościach mieszkalnych </w:t>
      </w:r>
      <w:r w:rsidR="0020550B" w:rsidRPr="006D3372">
        <w:rPr>
          <w:rFonts w:ascii="Times New Roman" w:hAnsi="Times New Roman"/>
          <w:sz w:val="19"/>
          <w:szCs w:val="19"/>
        </w:rPr>
        <w:t>wartość aktualną ustala się wg wzoru</w:t>
      </w:r>
      <w:r w:rsidR="00E33EAA" w:rsidRPr="006D3372">
        <w:rPr>
          <w:rFonts w:ascii="Times New Roman" w:hAnsi="Times New Roman"/>
          <w:sz w:val="19"/>
          <w:szCs w:val="19"/>
        </w:rPr>
        <w:t xml:space="preserve"> </w:t>
      </w:r>
      <w:r w:rsidR="00E33EAA" w:rsidRPr="006D3372">
        <w:rPr>
          <w:rFonts w:ascii="Times New Roman" w:hAnsi="Times New Roman"/>
          <w:sz w:val="19"/>
          <w:szCs w:val="19"/>
        </w:rPr>
        <w:br/>
      </w:r>
      <w:r w:rsidR="00FD037B" w:rsidRPr="006D3372">
        <w:rPr>
          <w:rFonts w:ascii="Times New Roman" w:hAnsi="Times New Roman"/>
          <w:sz w:val="19"/>
          <w:szCs w:val="19"/>
        </w:rPr>
        <w:t>(wartość rynkowa nieruchomości na dzień zakończenia inwestycji – wartość rynkowa gruntu) x stopień</w:t>
      </w:r>
      <w:r w:rsidR="00E33EAA" w:rsidRPr="006D3372">
        <w:rPr>
          <w:rFonts w:ascii="Times New Roman" w:hAnsi="Times New Roman"/>
          <w:sz w:val="19"/>
          <w:szCs w:val="19"/>
        </w:rPr>
        <w:t xml:space="preserve"> </w:t>
      </w:r>
      <w:r w:rsidR="00FD037B" w:rsidRPr="006D3372">
        <w:rPr>
          <w:rFonts w:ascii="Times New Roman" w:hAnsi="Times New Roman"/>
          <w:sz w:val="19"/>
          <w:szCs w:val="19"/>
        </w:rPr>
        <w:t>zaawansowania inwestycji (%) + wartość rynkowa gruntu;</w:t>
      </w:r>
    </w:p>
    <w:p w14:paraId="530FC466" w14:textId="5F672E68" w:rsidR="003E17AC" w:rsidRPr="006D3372" w:rsidRDefault="00FD037B" w:rsidP="003E415D">
      <w:pPr>
        <w:pStyle w:val="Tekstpodstawowywcity2"/>
        <w:numPr>
          <w:ilvl w:val="0"/>
          <w:numId w:val="9"/>
        </w:numPr>
        <w:ind w:left="993" w:hanging="284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19"/>
          <w:szCs w:val="19"/>
        </w:rPr>
        <w:t xml:space="preserve">w przypadku inwestycji prowadzonych na nieruchomościach komercyjnych dopuszcza się </w:t>
      </w:r>
      <w:r w:rsidR="000F4665" w:rsidRPr="006D3372">
        <w:rPr>
          <w:rFonts w:ascii="Times New Roman" w:hAnsi="Times New Roman"/>
          <w:sz w:val="19"/>
          <w:szCs w:val="19"/>
        </w:rPr>
        <w:t xml:space="preserve">zastosowanie </w:t>
      </w:r>
      <w:r w:rsidRPr="006D3372">
        <w:rPr>
          <w:rFonts w:ascii="Times New Roman" w:hAnsi="Times New Roman"/>
          <w:sz w:val="19"/>
          <w:szCs w:val="19"/>
        </w:rPr>
        <w:t>metody pozostałościowej, zgodnie z</w:t>
      </w:r>
      <w:r w:rsidR="004044A0" w:rsidRPr="006D3372">
        <w:rPr>
          <w:rFonts w:ascii="Times New Roman" w:hAnsi="Times New Roman"/>
          <w:sz w:val="19"/>
          <w:szCs w:val="19"/>
        </w:rPr>
        <w:t xml:space="preserve"> </w:t>
      </w:r>
      <w:r w:rsidR="003E17AC" w:rsidRPr="006D3372">
        <w:rPr>
          <w:rFonts w:ascii="Times New Roman" w:hAnsi="Times New Roman"/>
          <w:sz w:val="19"/>
          <w:szCs w:val="19"/>
        </w:rPr>
        <w:t xml:space="preserve">§ 16 </w:t>
      </w:r>
      <w:r w:rsidR="004044A0" w:rsidRPr="006D3372">
        <w:rPr>
          <w:rFonts w:ascii="Times New Roman" w:hAnsi="Times New Roman"/>
          <w:sz w:val="19"/>
          <w:szCs w:val="19"/>
        </w:rPr>
        <w:t>rozporządzeni</w:t>
      </w:r>
      <w:r w:rsidR="000F4665" w:rsidRPr="006D3372">
        <w:rPr>
          <w:rFonts w:ascii="Times New Roman" w:hAnsi="Times New Roman"/>
          <w:sz w:val="19"/>
          <w:szCs w:val="19"/>
        </w:rPr>
        <w:t>a</w:t>
      </w:r>
      <w:r w:rsidR="004044A0" w:rsidRPr="006D3372">
        <w:rPr>
          <w:rFonts w:ascii="Times New Roman" w:hAnsi="Times New Roman"/>
          <w:sz w:val="19"/>
          <w:szCs w:val="19"/>
        </w:rPr>
        <w:t xml:space="preserve">, </w:t>
      </w:r>
      <w:r w:rsidRPr="006D3372">
        <w:rPr>
          <w:rFonts w:ascii="Times New Roman" w:hAnsi="Times New Roman"/>
          <w:sz w:val="19"/>
          <w:szCs w:val="19"/>
        </w:rPr>
        <w:t xml:space="preserve">pod warunkiem zawarcia w operacie szacunkowym przynajmniej bazy transakcji porównawczych (gruntów niezabudowanych). </w:t>
      </w:r>
    </w:p>
    <w:p w14:paraId="2DCD913F" w14:textId="6B238818" w:rsidR="004044A0" w:rsidRPr="00565832" w:rsidRDefault="0034776C" w:rsidP="00321A37">
      <w:pPr>
        <w:pStyle w:val="Tekstpodstawowywcity2"/>
        <w:spacing w:before="40"/>
        <w:ind w:left="633" w:hanging="66"/>
        <w:rPr>
          <w:rFonts w:ascii="Times New Roman" w:hAnsi="Times New Roman"/>
          <w:i/>
          <w:iCs/>
          <w:sz w:val="18"/>
          <w:szCs w:val="18"/>
        </w:rPr>
      </w:pPr>
      <w:r w:rsidRPr="00565832">
        <w:rPr>
          <w:rFonts w:ascii="Times New Roman" w:hAnsi="Times New Roman"/>
          <w:i/>
          <w:iCs/>
          <w:sz w:val="18"/>
          <w:szCs w:val="18"/>
        </w:rPr>
        <w:t>(</w:t>
      </w:r>
      <w:r w:rsidR="003E17AC" w:rsidRPr="00565832">
        <w:rPr>
          <w:rFonts w:ascii="Times New Roman" w:hAnsi="Times New Roman"/>
          <w:i/>
          <w:iCs/>
          <w:sz w:val="18"/>
          <w:szCs w:val="18"/>
        </w:rPr>
        <w:t>Uwaga, gdy na nieruchomości gruntowej nie nastąpiło jeszcze faktyczne rozpoczęcie budowy/inwestycji do wyznaczenia jej wartości wymagane jest zastosowanie podejścia porównawczego</w:t>
      </w:r>
      <w:r w:rsidR="00321A37" w:rsidRPr="00565832">
        <w:rPr>
          <w:rFonts w:ascii="Times New Roman" w:hAnsi="Times New Roman"/>
          <w:i/>
          <w:iCs/>
          <w:sz w:val="18"/>
          <w:szCs w:val="18"/>
        </w:rPr>
        <w:t xml:space="preserve">, </w:t>
      </w:r>
      <w:r w:rsidR="003E17AC" w:rsidRPr="00565832">
        <w:rPr>
          <w:rFonts w:ascii="Times New Roman" w:hAnsi="Times New Roman"/>
          <w:i/>
          <w:iCs/>
          <w:sz w:val="18"/>
          <w:szCs w:val="18"/>
        </w:rPr>
        <w:t>nie akceptuje się wykorzystania wyłącznie metody pozostałościowej</w:t>
      </w:r>
      <w:r w:rsidR="00321A37" w:rsidRPr="00565832">
        <w:rPr>
          <w:rFonts w:ascii="Times New Roman" w:hAnsi="Times New Roman"/>
          <w:i/>
          <w:iCs/>
          <w:sz w:val="18"/>
          <w:szCs w:val="18"/>
        </w:rPr>
        <w:t>.)</w:t>
      </w:r>
    </w:p>
    <w:p w14:paraId="315B5F61" w14:textId="77777777" w:rsidR="00FD037B" w:rsidRPr="006D3372" w:rsidRDefault="00FD037B" w:rsidP="003E415D">
      <w:pPr>
        <w:pStyle w:val="Tekstpodstawowywcity2"/>
        <w:numPr>
          <w:ilvl w:val="0"/>
          <w:numId w:val="7"/>
        </w:numPr>
        <w:tabs>
          <w:tab w:val="clear" w:pos="786"/>
        </w:tabs>
        <w:spacing w:before="40"/>
        <w:ind w:left="851" w:hanging="284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19"/>
          <w:szCs w:val="19"/>
        </w:rPr>
        <w:t>rzeczowy i finansowy stopień zaawansowania budowy według stanu na dzień wyceny;</w:t>
      </w:r>
    </w:p>
    <w:p w14:paraId="1966CF27" w14:textId="77777777" w:rsidR="00FD037B" w:rsidRPr="006D3372" w:rsidRDefault="00FD037B" w:rsidP="003E415D">
      <w:pPr>
        <w:pStyle w:val="Tekstpodstawowywcity2"/>
        <w:numPr>
          <w:ilvl w:val="0"/>
          <w:numId w:val="7"/>
        </w:numPr>
        <w:tabs>
          <w:tab w:val="clear" w:pos="786"/>
        </w:tabs>
        <w:spacing w:before="40"/>
        <w:ind w:left="851" w:hanging="284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19"/>
          <w:szCs w:val="19"/>
        </w:rPr>
        <w:t xml:space="preserve">wartość rynkową, jaką nieruchomość będzie przedstawiała po zakończeniu budowy.  </w:t>
      </w:r>
    </w:p>
    <w:p w14:paraId="0783B27F" w14:textId="5C97B162" w:rsidR="00321A37" w:rsidRPr="00321A37" w:rsidRDefault="00FD037B" w:rsidP="003E415D">
      <w:pPr>
        <w:pStyle w:val="Akapitzlist"/>
        <w:numPr>
          <w:ilvl w:val="0"/>
          <w:numId w:val="10"/>
        </w:numPr>
        <w:tabs>
          <w:tab w:val="clear" w:pos="2846"/>
        </w:tabs>
        <w:spacing w:before="60" w:after="0" w:line="240" w:lineRule="auto"/>
        <w:ind w:left="567" w:hanging="425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lastRenderedPageBreak/>
        <w:t>W przypadku potwierdzenia aktualności operatu szacunkowego</w:t>
      </w:r>
      <w:r w:rsidR="0020550B" w:rsidRPr="006D3372">
        <w:rPr>
          <w:rFonts w:ascii="Times New Roman" w:hAnsi="Times New Roman" w:cs="Times New Roman"/>
          <w:sz w:val="19"/>
          <w:szCs w:val="19"/>
        </w:rPr>
        <w:t xml:space="preserve"> </w:t>
      </w:r>
      <w:r w:rsidRPr="006D3372">
        <w:rPr>
          <w:rFonts w:ascii="Times New Roman" w:hAnsi="Times New Roman" w:cs="Times New Roman"/>
          <w:sz w:val="19"/>
          <w:szCs w:val="19"/>
        </w:rPr>
        <w:t xml:space="preserve">rzeczoznawca majątkowy zobowiązany jest do </w:t>
      </w:r>
      <w:r w:rsidR="00882418" w:rsidRPr="006D3372">
        <w:rPr>
          <w:rFonts w:ascii="Times New Roman" w:hAnsi="Times New Roman" w:cs="Times New Roman"/>
          <w:sz w:val="19"/>
          <w:szCs w:val="19"/>
        </w:rPr>
        <w:t xml:space="preserve">przeprowadzenia aktualnej analizy rynku, </w:t>
      </w:r>
      <w:r w:rsidRPr="006D3372">
        <w:rPr>
          <w:rFonts w:ascii="Times New Roman" w:hAnsi="Times New Roman" w:cs="Times New Roman"/>
          <w:sz w:val="19"/>
          <w:szCs w:val="19"/>
        </w:rPr>
        <w:t xml:space="preserve">ponownego zbadania stanu prawnego i technicznego, stanu zagospodarowania </w:t>
      </w:r>
      <w:r w:rsidR="00E33EAA" w:rsidRPr="006D3372">
        <w:rPr>
          <w:rFonts w:ascii="Times New Roman" w:hAnsi="Times New Roman" w:cs="Times New Roman"/>
          <w:sz w:val="19"/>
          <w:szCs w:val="19"/>
        </w:rPr>
        <w:br/>
      </w:r>
      <w:r w:rsidRPr="006D3372">
        <w:rPr>
          <w:rFonts w:ascii="Times New Roman" w:hAnsi="Times New Roman" w:cs="Times New Roman"/>
          <w:sz w:val="19"/>
          <w:szCs w:val="19"/>
        </w:rPr>
        <w:t>i przeznaczenia przedmiotu wyceny. Do potwierdzenia aktualności należy dołączyć</w:t>
      </w:r>
    </w:p>
    <w:p w14:paraId="57C19EB6" w14:textId="2240F9F4" w:rsidR="00106855" w:rsidRPr="00106855" w:rsidRDefault="00106855" w:rsidP="00106855">
      <w:pPr>
        <w:pStyle w:val="Tekstpodstawowywcity2"/>
        <w:numPr>
          <w:ilvl w:val="0"/>
          <w:numId w:val="14"/>
        </w:numPr>
        <w:tabs>
          <w:tab w:val="clear" w:pos="2917"/>
        </w:tabs>
        <w:spacing w:before="40"/>
        <w:ind w:left="993" w:hanging="284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20"/>
          <w:szCs w:val="20"/>
        </w:rPr>
        <w:t>analizę rynku</w:t>
      </w:r>
    </w:p>
    <w:p w14:paraId="0D78485E" w14:textId="015FEADC" w:rsidR="00DF43E7" w:rsidRPr="00106855" w:rsidRDefault="00FD037B" w:rsidP="00106855">
      <w:pPr>
        <w:pStyle w:val="Tekstpodstawowywcity2"/>
        <w:numPr>
          <w:ilvl w:val="0"/>
          <w:numId w:val="14"/>
        </w:numPr>
        <w:tabs>
          <w:tab w:val="clear" w:pos="2917"/>
        </w:tabs>
        <w:spacing w:before="40"/>
        <w:ind w:left="1134" w:hanging="283"/>
        <w:rPr>
          <w:rFonts w:ascii="Times New Roman" w:hAnsi="Times New Roman"/>
          <w:sz w:val="19"/>
          <w:szCs w:val="19"/>
        </w:rPr>
      </w:pPr>
      <w:r w:rsidRPr="006D3372">
        <w:rPr>
          <w:rFonts w:ascii="Times New Roman" w:hAnsi="Times New Roman"/>
          <w:sz w:val="19"/>
          <w:szCs w:val="19"/>
        </w:rPr>
        <w:t>aktualny wydruk z księgi wieczystej;</w:t>
      </w:r>
    </w:p>
    <w:p w14:paraId="2D9658E3" w14:textId="765A9E50" w:rsidR="001C7FEE" w:rsidRPr="00321A37" w:rsidRDefault="00FD037B" w:rsidP="003E415D">
      <w:pPr>
        <w:pStyle w:val="Tekstpodstawowywcity2"/>
        <w:numPr>
          <w:ilvl w:val="0"/>
          <w:numId w:val="14"/>
        </w:numPr>
        <w:tabs>
          <w:tab w:val="clear" w:pos="2917"/>
        </w:tabs>
        <w:spacing w:before="40"/>
        <w:ind w:left="1134" w:hanging="283"/>
        <w:jc w:val="left"/>
        <w:rPr>
          <w:rFonts w:ascii="Times New Roman" w:hAnsi="Times New Roman"/>
          <w:sz w:val="19"/>
          <w:szCs w:val="19"/>
        </w:rPr>
      </w:pPr>
      <w:r w:rsidRPr="00321A37">
        <w:rPr>
          <w:rFonts w:ascii="Times New Roman" w:hAnsi="Times New Roman"/>
          <w:sz w:val="19"/>
          <w:szCs w:val="19"/>
        </w:rPr>
        <w:t xml:space="preserve">aktualny wypis z ewidencji gruntów </w:t>
      </w:r>
      <w:r w:rsidR="00137BC7" w:rsidRPr="00321A37">
        <w:rPr>
          <w:rFonts w:ascii="Times New Roman" w:hAnsi="Times New Roman"/>
          <w:sz w:val="19"/>
          <w:szCs w:val="19"/>
        </w:rPr>
        <w:t>i</w:t>
      </w:r>
      <w:r w:rsidRPr="00321A37">
        <w:rPr>
          <w:rFonts w:ascii="Times New Roman" w:hAnsi="Times New Roman"/>
          <w:sz w:val="19"/>
          <w:szCs w:val="19"/>
        </w:rPr>
        <w:t xml:space="preserve"> budynków (dotyczy nieruchomości gruntowych);</w:t>
      </w:r>
    </w:p>
    <w:p w14:paraId="360125EC" w14:textId="77777777" w:rsidR="001C7FEE" w:rsidRPr="006D3372" w:rsidRDefault="00FD037B" w:rsidP="003E415D">
      <w:pPr>
        <w:pStyle w:val="Tekstpodstawowywcity2"/>
        <w:numPr>
          <w:ilvl w:val="0"/>
          <w:numId w:val="14"/>
        </w:numPr>
        <w:tabs>
          <w:tab w:val="clear" w:pos="2917"/>
        </w:tabs>
        <w:spacing w:before="40"/>
        <w:ind w:left="1134" w:hanging="283"/>
        <w:rPr>
          <w:rFonts w:ascii="Times New Roman" w:hAnsi="Times New Roman"/>
          <w:sz w:val="20"/>
          <w:szCs w:val="20"/>
        </w:rPr>
      </w:pPr>
      <w:r w:rsidRPr="006D3372">
        <w:rPr>
          <w:rFonts w:ascii="Times New Roman" w:hAnsi="Times New Roman"/>
          <w:sz w:val="19"/>
          <w:szCs w:val="19"/>
        </w:rPr>
        <w:t>aktualną dokumentację fotograficzną</w:t>
      </w:r>
      <w:r w:rsidR="00726A7F" w:rsidRPr="006D3372">
        <w:rPr>
          <w:rFonts w:ascii="Times New Roman" w:hAnsi="Times New Roman"/>
          <w:sz w:val="19"/>
          <w:szCs w:val="19"/>
        </w:rPr>
        <w:t>;</w:t>
      </w:r>
      <w:r w:rsidRPr="006D3372">
        <w:rPr>
          <w:rFonts w:ascii="Times New Roman" w:hAnsi="Times New Roman"/>
          <w:sz w:val="19"/>
          <w:szCs w:val="19"/>
        </w:rPr>
        <w:t xml:space="preserve"> </w:t>
      </w:r>
    </w:p>
    <w:p w14:paraId="30B70627" w14:textId="57FFA5CD" w:rsidR="0034776C" w:rsidRPr="006D3372" w:rsidRDefault="003E17AC" w:rsidP="003E415D">
      <w:pPr>
        <w:pStyle w:val="Tekstpodstawowywcity2"/>
        <w:numPr>
          <w:ilvl w:val="0"/>
          <w:numId w:val="14"/>
        </w:numPr>
        <w:tabs>
          <w:tab w:val="clear" w:pos="2917"/>
        </w:tabs>
        <w:spacing w:before="40"/>
        <w:ind w:left="1134" w:hanging="283"/>
        <w:rPr>
          <w:rFonts w:ascii="Times New Roman" w:hAnsi="Times New Roman"/>
          <w:sz w:val="20"/>
          <w:szCs w:val="20"/>
        </w:rPr>
      </w:pPr>
      <w:r w:rsidRPr="006D3372">
        <w:rPr>
          <w:rFonts w:ascii="Times New Roman" w:hAnsi="Times New Roman"/>
          <w:sz w:val="20"/>
          <w:szCs w:val="20"/>
        </w:rPr>
        <w:t xml:space="preserve">aktualną </w:t>
      </w:r>
      <w:r w:rsidR="008E4717" w:rsidRPr="006D3372">
        <w:rPr>
          <w:rFonts w:ascii="Times New Roman" w:hAnsi="Times New Roman"/>
          <w:sz w:val="20"/>
          <w:szCs w:val="20"/>
        </w:rPr>
        <w:t>p</w:t>
      </w:r>
      <w:r w:rsidR="00FD037B" w:rsidRPr="006D3372">
        <w:rPr>
          <w:rFonts w:ascii="Times New Roman" w:hAnsi="Times New Roman"/>
          <w:sz w:val="20"/>
          <w:szCs w:val="20"/>
        </w:rPr>
        <w:t>olisę ubezpieczenia OC</w:t>
      </w:r>
      <w:r w:rsidR="004A7EE7" w:rsidRPr="006D3372">
        <w:rPr>
          <w:rFonts w:ascii="Times New Roman" w:hAnsi="Times New Roman"/>
          <w:sz w:val="20"/>
          <w:szCs w:val="20"/>
        </w:rPr>
        <w:t xml:space="preserve"> </w:t>
      </w:r>
      <w:r w:rsidR="00EF0B86" w:rsidRPr="006D3372">
        <w:rPr>
          <w:rFonts w:ascii="Times New Roman" w:hAnsi="Times New Roman"/>
          <w:sz w:val="20"/>
          <w:szCs w:val="20"/>
        </w:rPr>
        <w:t>Rzeczoznawcy Mają</w:t>
      </w:r>
      <w:r w:rsidR="004A7EE7" w:rsidRPr="006D3372">
        <w:rPr>
          <w:rFonts w:ascii="Times New Roman" w:hAnsi="Times New Roman"/>
          <w:sz w:val="20"/>
          <w:szCs w:val="20"/>
        </w:rPr>
        <w:t>tkowego</w:t>
      </w:r>
      <w:r w:rsidR="00882418" w:rsidRPr="006D3372">
        <w:rPr>
          <w:rFonts w:ascii="Times New Roman" w:hAnsi="Times New Roman"/>
          <w:sz w:val="20"/>
          <w:szCs w:val="20"/>
        </w:rPr>
        <w:t>.</w:t>
      </w:r>
    </w:p>
    <w:p w14:paraId="0B598253" w14:textId="77777777" w:rsidR="00B67678" w:rsidRPr="006D3372" w:rsidRDefault="00FD037B" w:rsidP="003E415D">
      <w:pPr>
        <w:pStyle w:val="Akapitzlist"/>
        <w:numPr>
          <w:ilvl w:val="0"/>
          <w:numId w:val="10"/>
        </w:numPr>
        <w:tabs>
          <w:tab w:val="clear" w:pos="2846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21A37">
        <w:rPr>
          <w:rFonts w:ascii="Times New Roman" w:hAnsi="Times New Roman" w:cs="Times New Roman"/>
          <w:sz w:val="19"/>
          <w:szCs w:val="19"/>
        </w:rPr>
        <w:t>Bank nie akceptuje operatów szacunkowych sporządzonych przy wykorzystaniu metody analizy statystycznej rynku</w:t>
      </w:r>
      <w:r w:rsidR="00F4649B" w:rsidRPr="00321A37">
        <w:rPr>
          <w:rFonts w:ascii="Times New Roman" w:hAnsi="Times New Roman" w:cs="Times New Roman"/>
          <w:sz w:val="19"/>
          <w:szCs w:val="19"/>
        </w:rPr>
        <w:t xml:space="preserve"> oraz</w:t>
      </w:r>
      <w:r w:rsidR="004044A0" w:rsidRPr="006D3372">
        <w:rPr>
          <w:rFonts w:ascii="Times New Roman" w:hAnsi="Times New Roman" w:cs="Times New Roman"/>
          <w:sz w:val="20"/>
          <w:szCs w:val="20"/>
        </w:rPr>
        <w:t xml:space="preserve"> </w:t>
      </w:r>
      <w:r w:rsidR="00F4649B" w:rsidRPr="006D3372">
        <w:rPr>
          <w:rFonts w:ascii="Times New Roman" w:hAnsi="Times New Roman" w:cs="Times New Roman"/>
          <w:sz w:val="20"/>
          <w:szCs w:val="20"/>
        </w:rPr>
        <w:t>operatów szacunkowych określających jedynie wartość odtworzeniową.</w:t>
      </w:r>
    </w:p>
    <w:p w14:paraId="36EE9740" w14:textId="77777777" w:rsidR="006D3372" w:rsidRPr="006D3372" w:rsidRDefault="0034776C" w:rsidP="003E415D">
      <w:pPr>
        <w:pStyle w:val="Akapitzlist"/>
        <w:numPr>
          <w:ilvl w:val="0"/>
          <w:numId w:val="10"/>
        </w:numPr>
        <w:tabs>
          <w:tab w:val="clear" w:pos="2846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D3372">
        <w:rPr>
          <w:rFonts w:ascii="Times New Roman" w:hAnsi="Times New Roman" w:cs="Times New Roman"/>
          <w:sz w:val="20"/>
          <w:szCs w:val="20"/>
        </w:rPr>
        <w:t xml:space="preserve">Wartość nieruchomości powinna zostać określona na podstawie danych rynkowych przy użyciu jednego z dwóch podejść: </w:t>
      </w:r>
      <w:r w:rsidRPr="006D3372">
        <w:rPr>
          <w:rFonts w:ascii="Times New Roman" w:hAnsi="Times New Roman" w:cs="Times New Roman"/>
          <w:b/>
          <w:bCs/>
          <w:sz w:val="20"/>
          <w:szCs w:val="20"/>
          <w:u w:val="single"/>
        </w:rPr>
        <w:t>porównawczego lub dochodowego</w:t>
      </w:r>
      <w:r w:rsidRPr="006D3372">
        <w:rPr>
          <w:rFonts w:ascii="Times New Roman" w:hAnsi="Times New Roman" w:cs="Times New Roman"/>
          <w:sz w:val="20"/>
          <w:szCs w:val="20"/>
        </w:rPr>
        <w:t xml:space="preserve">, zgodnie ze standardami zawodowymi rzeczoznawców majątkowych, przy uwzględnieniu możliwych do zbadania okoliczności, które mogą wpływać na jej obniżenie w przyszłości. </w:t>
      </w:r>
      <w:r w:rsidR="00055FED" w:rsidRPr="006D3372">
        <w:rPr>
          <w:rFonts w:ascii="Times New Roman" w:hAnsi="Times New Roman" w:cs="Times New Roman"/>
          <w:sz w:val="20"/>
          <w:szCs w:val="20"/>
        </w:rPr>
        <w:t>Preferowanym przez Bank sposobem określenia wartości rynkowej nieruchomości jest podejście porównawcze. Jeżeli istniejące uwarunkowania nie pozwalają na zastosowanie podejścia porównawczego wartość rynkową nieruchomości określa się w podejściu dochodowym lub podejściu mieszanym.</w:t>
      </w:r>
      <w:r w:rsidRPr="006D3372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80881683"/>
      <w:r w:rsidRPr="006D3372">
        <w:rPr>
          <w:rFonts w:ascii="Times New Roman" w:hAnsi="Times New Roman" w:cs="Times New Roman"/>
          <w:sz w:val="20"/>
          <w:szCs w:val="20"/>
        </w:rPr>
        <w:t xml:space="preserve">Bank nie akceptuje operatów szacunkowych sporządzonych przy wykorzystaniu metody analizy statystycznej rynku. </w:t>
      </w:r>
      <w:bookmarkEnd w:id="2"/>
    </w:p>
    <w:p w14:paraId="5054ECA2" w14:textId="77777777" w:rsidR="006D3372" w:rsidRPr="006D3372" w:rsidRDefault="0034776C" w:rsidP="003E415D">
      <w:pPr>
        <w:pStyle w:val="Akapitzlist"/>
        <w:numPr>
          <w:ilvl w:val="0"/>
          <w:numId w:val="10"/>
        </w:numPr>
        <w:tabs>
          <w:tab w:val="clear" w:pos="2846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D3372">
        <w:rPr>
          <w:rFonts w:ascii="Times New Roman" w:hAnsi="Times New Roman" w:cs="Times New Roman"/>
          <w:sz w:val="20"/>
          <w:szCs w:val="20"/>
        </w:rPr>
        <w:t xml:space="preserve">W przypadku zastosowania podejścia porównawczego, do porównań należy wykorzystać nieruchomości podobne, które były przedmiotem </w:t>
      </w:r>
      <w:r w:rsidR="00E52567" w:rsidRPr="006D3372">
        <w:rPr>
          <w:rFonts w:ascii="Times New Roman" w:hAnsi="Times New Roman" w:cs="Times New Roman"/>
          <w:sz w:val="20"/>
          <w:szCs w:val="20"/>
        </w:rPr>
        <w:t xml:space="preserve">transakcji </w:t>
      </w:r>
      <w:r w:rsidRPr="006D3372">
        <w:rPr>
          <w:rFonts w:ascii="Times New Roman" w:hAnsi="Times New Roman" w:cs="Times New Roman"/>
          <w:sz w:val="20"/>
          <w:szCs w:val="20"/>
        </w:rPr>
        <w:t xml:space="preserve">sprzedaży </w:t>
      </w:r>
      <w:r w:rsidRPr="006D337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 okresie </w:t>
      </w:r>
      <w:r w:rsidR="00E52567" w:rsidRPr="006D337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ostatnich </w:t>
      </w:r>
      <w:r w:rsidR="00581F12" w:rsidRPr="006D3372">
        <w:rPr>
          <w:rFonts w:ascii="Times New Roman" w:hAnsi="Times New Roman" w:cs="Times New Roman"/>
          <w:b/>
          <w:bCs/>
          <w:sz w:val="20"/>
          <w:szCs w:val="20"/>
          <w:u w:val="single"/>
        </w:rPr>
        <w:t>24</w:t>
      </w:r>
      <w:r w:rsidR="00E52567" w:rsidRPr="006D337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miesięcy</w:t>
      </w:r>
      <w:r w:rsidRPr="006D3372">
        <w:rPr>
          <w:rFonts w:ascii="Times New Roman" w:hAnsi="Times New Roman" w:cs="Times New Roman"/>
          <w:sz w:val="20"/>
          <w:szCs w:val="20"/>
        </w:rPr>
        <w:t xml:space="preserve"> od daty, na którą określa się wartość nieruchomości (wykorzystanie cen z innych okresów wymaga szczegółowego uzasadnienia). </w:t>
      </w:r>
    </w:p>
    <w:p w14:paraId="337F35E6" w14:textId="04789577" w:rsidR="007254A5" w:rsidRPr="00321A37" w:rsidRDefault="0034776C" w:rsidP="003E415D">
      <w:pPr>
        <w:pStyle w:val="Akapitzlist"/>
        <w:numPr>
          <w:ilvl w:val="0"/>
          <w:numId w:val="10"/>
        </w:numPr>
        <w:tabs>
          <w:tab w:val="clear" w:pos="2846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D3372">
        <w:rPr>
          <w:rFonts w:ascii="Times New Roman" w:hAnsi="Times New Roman" w:cs="Times New Roman"/>
          <w:sz w:val="20"/>
          <w:szCs w:val="20"/>
        </w:rPr>
        <w:t xml:space="preserve">W przypadku, gdy wyceniana nieruchomość obciążona jest służebnością, użytkowaniem, prawem do najmu lub dzierżawy, prawem odkupu lub pierwokupu, prawem dożywocia, roszczeniem o przeniesienie własności należy uwzględnić wartość obciążenia w  wartości nieruchomości.   </w:t>
      </w:r>
    </w:p>
    <w:p w14:paraId="1DE9A375" w14:textId="14C6BFE3" w:rsidR="000C14A0" w:rsidRPr="006D3372" w:rsidRDefault="006E5155" w:rsidP="001E153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3372">
        <w:rPr>
          <w:rFonts w:ascii="Times New Roman" w:hAnsi="Times New Roman" w:cs="Times New Roman"/>
          <w:b/>
          <w:sz w:val="20"/>
          <w:szCs w:val="20"/>
        </w:rPr>
        <w:t>K</w:t>
      </w:r>
      <w:r w:rsidR="001C7FEE" w:rsidRPr="006D3372">
        <w:rPr>
          <w:rFonts w:ascii="Times New Roman" w:hAnsi="Times New Roman" w:cs="Times New Roman"/>
          <w:b/>
          <w:sz w:val="20"/>
          <w:szCs w:val="20"/>
        </w:rPr>
        <w:t xml:space="preserve">ryteria dotyczące </w:t>
      </w:r>
      <w:r w:rsidR="001E1537" w:rsidRPr="006D3372">
        <w:rPr>
          <w:rFonts w:ascii="Times New Roman" w:hAnsi="Times New Roman" w:cs="Times New Roman"/>
          <w:b/>
          <w:sz w:val="20"/>
          <w:szCs w:val="20"/>
        </w:rPr>
        <w:t>rzeczoznawcy majątkowego</w:t>
      </w:r>
      <w:r w:rsidRPr="006D337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9D3D595" w14:textId="7983EAA9" w:rsidR="001E1537" w:rsidRPr="006D3372" w:rsidRDefault="001E1537" w:rsidP="003E415D">
      <w:pPr>
        <w:pStyle w:val="Akapitzlist"/>
        <w:numPr>
          <w:ilvl w:val="0"/>
          <w:numId w:val="8"/>
        </w:numPr>
        <w:tabs>
          <w:tab w:val="clear" w:pos="2846"/>
          <w:tab w:val="num" w:pos="284"/>
        </w:tabs>
        <w:spacing w:before="60"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D3372">
        <w:rPr>
          <w:rFonts w:ascii="Times New Roman" w:hAnsi="Times New Roman" w:cs="Times New Roman"/>
          <w:sz w:val="20"/>
          <w:szCs w:val="20"/>
        </w:rPr>
        <w:t>Rzeczoznawca majątkowy dokonujący określenia wartości nieruchomości nie może:</w:t>
      </w:r>
    </w:p>
    <w:p w14:paraId="5EB5842D" w14:textId="5289764A" w:rsidR="001E1537" w:rsidRPr="006D3372" w:rsidRDefault="001E1537" w:rsidP="003E415D">
      <w:pPr>
        <w:numPr>
          <w:ilvl w:val="0"/>
          <w:numId w:val="11"/>
        </w:numPr>
        <w:tabs>
          <w:tab w:val="num" w:pos="567"/>
        </w:tabs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20"/>
          <w:szCs w:val="20"/>
        </w:rPr>
        <w:t xml:space="preserve">być kredytobiorcą, małżonkiem lub krewnym kredytobiorcy, ani pozostawać w żadnym stosunku osobistym </w:t>
      </w:r>
      <w:r w:rsidR="0030656A" w:rsidRPr="006D3372">
        <w:rPr>
          <w:rFonts w:ascii="Times New Roman" w:hAnsi="Times New Roman" w:cs="Times New Roman"/>
          <w:sz w:val="20"/>
          <w:szCs w:val="20"/>
        </w:rPr>
        <w:br/>
      </w:r>
      <w:r w:rsidRPr="006D3372">
        <w:rPr>
          <w:rFonts w:ascii="Times New Roman" w:hAnsi="Times New Roman" w:cs="Times New Roman"/>
          <w:sz w:val="20"/>
          <w:szCs w:val="20"/>
        </w:rPr>
        <w:t>z kredytobiorcą</w:t>
      </w:r>
      <w:r w:rsidR="009212D6">
        <w:rPr>
          <w:rFonts w:ascii="Times New Roman" w:hAnsi="Times New Roman" w:cs="Times New Roman"/>
          <w:sz w:val="20"/>
          <w:szCs w:val="20"/>
        </w:rPr>
        <w:t>;</w:t>
      </w:r>
    </w:p>
    <w:p w14:paraId="749CA463" w14:textId="7E8BDA1C" w:rsidR="001E1537" w:rsidRPr="006D3372" w:rsidRDefault="001E1537" w:rsidP="003E415D">
      <w:pPr>
        <w:numPr>
          <w:ilvl w:val="0"/>
          <w:numId w:val="11"/>
        </w:numPr>
        <w:tabs>
          <w:tab w:val="num" w:pos="567"/>
        </w:tabs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być osobą bliską zleceniodawcy wyceny, ani właściciela albo współwłaściciela nieruchomości podlegającej</w:t>
      </w:r>
      <w:r w:rsidR="001C7FEE" w:rsidRPr="006D3372">
        <w:rPr>
          <w:rFonts w:ascii="Times New Roman" w:hAnsi="Times New Roman" w:cs="Times New Roman"/>
          <w:sz w:val="19"/>
          <w:szCs w:val="19"/>
        </w:rPr>
        <w:t xml:space="preserve"> </w:t>
      </w:r>
      <w:r w:rsidRPr="006D3372">
        <w:rPr>
          <w:rFonts w:ascii="Times New Roman" w:hAnsi="Times New Roman" w:cs="Times New Roman"/>
          <w:sz w:val="19"/>
          <w:szCs w:val="19"/>
        </w:rPr>
        <w:t>wycenie;</w:t>
      </w:r>
    </w:p>
    <w:p w14:paraId="385B5556" w14:textId="77777777" w:rsidR="001E1537" w:rsidRPr="006D3372" w:rsidRDefault="001E1537" w:rsidP="003E415D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mieć żadnych bezpośrednich lub pośrednich, w tym przez wspólników, partnerów lub bliską rodzinę, istotnych udziałów w podmiocie będącym zleceniodawcą wyceny, właścicielem albo współwłaścicielem nieruchomości stanowiącej przedmiot wyceny lub kredytobiorcą, ani też udziałów w firmie należącej do zleceniodawcy, właściciela albo współwłaściciela tej nieruchomości lub kredytobiorcy, ani też udziałów w  nieruchomości będącej przedmiotem wyceny;</w:t>
      </w:r>
    </w:p>
    <w:p w14:paraId="22E5A953" w14:textId="77777777" w:rsidR="001E1537" w:rsidRPr="006D3372" w:rsidRDefault="001E1537" w:rsidP="003E415D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być stroną jakiejkolwiek transakcji dotyczącej nieruchomości podlegającej wycenie;</w:t>
      </w:r>
    </w:p>
    <w:p w14:paraId="5F9D89E6" w14:textId="77777777" w:rsidR="001E1537" w:rsidRPr="006D3372" w:rsidRDefault="001E1537" w:rsidP="003E415D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uzyskiwać obecnie, ani w okresie poprzedzającym, tj. w ciągu minionych 24 miesięcy, żadnych korzyści materialnych lub osobistych związanych z wycenianą nieruchomością (w tym przez osobę bliską), poza wynagrodzeniem za wykonanie wyceny;</w:t>
      </w:r>
    </w:p>
    <w:p w14:paraId="32847D5C" w14:textId="678A44DB" w:rsidR="001E1537" w:rsidRPr="006D3372" w:rsidRDefault="001E1537" w:rsidP="003E415D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pozostawać w stosunku pracy lub stosunku podległości służbowej względem zleceniodawcy, właściciela albo współwłaściciela nieruchomości będącej przedmiotem wyceny lub kredytobiorcy oraz być związanym z nimi umowami cywilno-prawnymi (umowa zlecenia, umowa o dzieło, itp.)</w:t>
      </w:r>
      <w:r w:rsidR="00432987" w:rsidRPr="006D3372">
        <w:rPr>
          <w:rFonts w:ascii="Times New Roman" w:hAnsi="Times New Roman" w:cs="Times New Roman"/>
          <w:sz w:val="19"/>
          <w:szCs w:val="19"/>
        </w:rPr>
        <w:t xml:space="preserve"> </w:t>
      </w:r>
      <w:r w:rsidR="0078493B" w:rsidRPr="006D3372">
        <w:rPr>
          <w:rFonts w:ascii="Times New Roman" w:hAnsi="Times New Roman" w:cs="Times New Roman"/>
          <w:sz w:val="19"/>
          <w:szCs w:val="19"/>
        </w:rPr>
        <w:t>-</w:t>
      </w:r>
      <w:r w:rsidRPr="006D3372">
        <w:rPr>
          <w:rFonts w:ascii="Times New Roman" w:hAnsi="Times New Roman" w:cs="Times New Roman"/>
          <w:sz w:val="19"/>
          <w:szCs w:val="19"/>
        </w:rPr>
        <w:t xml:space="preserve"> z wyjątkiem umowy dotyczącej wykonania wyceny nieruchomości;</w:t>
      </w:r>
    </w:p>
    <w:p w14:paraId="200A48BF" w14:textId="5A6A1903" w:rsidR="001C7FEE" w:rsidRPr="006D3372" w:rsidRDefault="001E1537" w:rsidP="003E415D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>uzależniać wysokości swojego wynagrodzenia za sporządzenie operatu szacunkowego od oszacowanej przez niego wartości nieruchomości, od udzielenia kredytu lub jego wysokości</w:t>
      </w:r>
      <w:r w:rsidR="00A44396" w:rsidRPr="006D3372">
        <w:rPr>
          <w:rFonts w:ascii="Times New Roman" w:hAnsi="Times New Roman" w:cs="Times New Roman"/>
          <w:sz w:val="19"/>
          <w:szCs w:val="19"/>
        </w:rPr>
        <w:t>;</w:t>
      </w:r>
    </w:p>
    <w:p w14:paraId="33102905" w14:textId="52B88F63" w:rsidR="001C7FEE" w:rsidRPr="006D3372" w:rsidRDefault="001C7FEE" w:rsidP="003E415D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 xml:space="preserve">być zaangażowanym we wniosek o kredyt, </w:t>
      </w:r>
      <w:r w:rsidR="00D725DE" w:rsidRPr="006D3372">
        <w:rPr>
          <w:rFonts w:ascii="Times New Roman" w:hAnsi="Times New Roman" w:cs="Times New Roman"/>
          <w:sz w:val="19"/>
          <w:szCs w:val="19"/>
        </w:rPr>
        <w:t xml:space="preserve">jego </w:t>
      </w:r>
      <w:r w:rsidRPr="006D3372">
        <w:rPr>
          <w:rFonts w:ascii="Times New Roman" w:hAnsi="Times New Roman" w:cs="Times New Roman"/>
          <w:sz w:val="19"/>
          <w:szCs w:val="19"/>
        </w:rPr>
        <w:t xml:space="preserve">ocenę, decyzję </w:t>
      </w:r>
      <w:r w:rsidR="00D725DE" w:rsidRPr="006D3372">
        <w:rPr>
          <w:rFonts w:ascii="Times New Roman" w:hAnsi="Times New Roman" w:cs="Times New Roman"/>
          <w:sz w:val="19"/>
          <w:szCs w:val="19"/>
        </w:rPr>
        <w:t xml:space="preserve">w sprawie jego przyznania </w:t>
      </w:r>
      <w:r w:rsidRPr="006D3372">
        <w:rPr>
          <w:rFonts w:ascii="Times New Roman" w:hAnsi="Times New Roman" w:cs="Times New Roman"/>
          <w:sz w:val="19"/>
          <w:szCs w:val="19"/>
        </w:rPr>
        <w:t>ani działania administracyjne</w:t>
      </w:r>
      <w:r w:rsidR="001E1537" w:rsidRPr="006D3372">
        <w:rPr>
          <w:rFonts w:ascii="Times New Roman" w:hAnsi="Times New Roman" w:cs="Times New Roman"/>
          <w:sz w:val="19"/>
          <w:szCs w:val="19"/>
        </w:rPr>
        <w:t>.</w:t>
      </w:r>
    </w:p>
    <w:p w14:paraId="24468CCE" w14:textId="77777777" w:rsidR="00A44396" w:rsidRPr="006D3372" w:rsidRDefault="00A44396" w:rsidP="003E415D">
      <w:pPr>
        <w:pStyle w:val="Akapitzlist"/>
        <w:numPr>
          <w:ilvl w:val="0"/>
          <w:numId w:val="8"/>
        </w:numPr>
        <w:tabs>
          <w:tab w:val="clear" w:pos="2846"/>
        </w:tabs>
        <w:spacing w:before="60" w:after="0" w:line="240" w:lineRule="auto"/>
        <w:ind w:left="567" w:hanging="425"/>
        <w:jc w:val="both"/>
        <w:rPr>
          <w:rFonts w:ascii="Times New Roman" w:hAnsi="Times New Roman" w:cs="Times New Roman"/>
          <w:sz w:val="19"/>
          <w:szCs w:val="19"/>
        </w:rPr>
      </w:pPr>
      <w:r w:rsidRPr="006D3372">
        <w:rPr>
          <w:rFonts w:ascii="Times New Roman" w:hAnsi="Times New Roman" w:cs="Times New Roman"/>
          <w:sz w:val="19"/>
          <w:szCs w:val="19"/>
        </w:rPr>
        <w:t xml:space="preserve">Bank preferuje operaty szacunkowe rzeczoznawców majątkowych </w:t>
      </w:r>
      <w:r w:rsidRPr="006D3372">
        <w:rPr>
          <w:rFonts w:ascii="Times New Roman" w:hAnsi="Times New Roman" w:cs="Times New Roman"/>
          <w:bCs/>
          <w:sz w:val="19"/>
          <w:szCs w:val="19"/>
        </w:rPr>
        <w:t xml:space="preserve">przeszkolonych w zakresie sporządzania wycen nieruchomości na potrzeby zabezpieczenia wierzytelności. Wykazy te dostępne są na stronach internetowych: </w:t>
      </w:r>
    </w:p>
    <w:p w14:paraId="41948504" w14:textId="7DD9CFE4" w:rsidR="00A44396" w:rsidRPr="006D3372" w:rsidRDefault="00A44396" w:rsidP="00A44396">
      <w:pPr>
        <w:pStyle w:val="BodyText21"/>
        <w:tabs>
          <w:tab w:val="left" w:pos="9639"/>
        </w:tabs>
        <w:spacing w:before="0"/>
        <w:ind w:left="567" w:hanging="283"/>
        <w:rPr>
          <w:rFonts w:ascii="Times New Roman" w:hAnsi="Times New Roman"/>
          <w:bCs/>
          <w:sz w:val="19"/>
          <w:szCs w:val="19"/>
        </w:rPr>
      </w:pPr>
      <w:r w:rsidRPr="006D3372">
        <w:rPr>
          <w:rFonts w:ascii="Times New Roman" w:hAnsi="Times New Roman"/>
          <w:bCs/>
          <w:sz w:val="19"/>
          <w:szCs w:val="19"/>
        </w:rPr>
        <w:t>1)</w:t>
      </w:r>
      <w:r w:rsidRPr="006D3372">
        <w:rPr>
          <w:rFonts w:ascii="Times New Roman" w:hAnsi="Times New Roman"/>
          <w:b/>
          <w:bCs/>
          <w:sz w:val="19"/>
          <w:szCs w:val="19"/>
        </w:rPr>
        <w:t xml:space="preserve"> </w:t>
      </w:r>
      <w:r w:rsidRPr="006D3372">
        <w:rPr>
          <w:rFonts w:ascii="Times New Roman" w:hAnsi="Times New Roman"/>
          <w:b/>
          <w:bCs/>
          <w:sz w:val="19"/>
          <w:szCs w:val="19"/>
        </w:rPr>
        <w:tab/>
        <w:t>wwww.</w:t>
      </w:r>
      <w:r w:rsidRPr="006D3372">
        <w:rPr>
          <w:rFonts w:ascii="Times New Roman" w:hAnsi="Times New Roman"/>
          <w:b/>
          <w:sz w:val="19"/>
          <w:szCs w:val="19"/>
        </w:rPr>
        <w:t>pfsrm.pl</w:t>
      </w:r>
      <w:r w:rsidRPr="006D3372">
        <w:rPr>
          <w:rFonts w:ascii="Times New Roman" w:hAnsi="Times New Roman"/>
          <w:bCs/>
          <w:sz w:val="19"/>
          <w:szCs w:val="19"/>
        </w:rPr>
        <w:t>/</w:t>
      </w:r>
      <w:proofErr w:type="spellStart"/>
      <w:r w:rsidRPr="006D3372">
        <w:rPr>
          <w:rFonts w:ascii="Times New Roman" w:hAnsi="Times New Roman"/>
          <w:bCs/>
          <w:sz w:val="19"/>
          <w:szCs w:val="19"/>
        </w:rPr>
        <w:t>aktualno</w:t>
      </w:r>
      <w:r w:rsidR="005D5EE0" w:rsidRPr="006D3372">
        <w:rPr>
          <w:rFonts w:ascii="Times New Roman" w:hAnsi="Times New Roman"/>
          <w:bCs/>
          <w:sz w:val="19"/>
          <w:szCs w:val="19"/>
        </w:rPr>
        <w:t>s</w:t>
      </w:r>
      <w:r w:rsidRPr="006D3372">
        <w:rPr>
          <w:rFonts w:ascii="Times New Roman" w:hAnsi="Times New Roman"/>
          <w:bCs/>
          <w:sz w:val="19"/>
          <w:szCs w:val="19"/>
        </w:rPr>
        <w:t>ci</w:t>
      </w:r>
      <w:proofErr w:type="spellEnd"/>
      <w:r w:rsidRPr="006D3372">
        <w:rPr>
          <w:rFonts w:ascii="Times New Roman" w:hAnsi="Times New Roman"/>
          <w:bCs/>
          <w:sz w:val="19"/>
          <w:szCs w:val="19"/>
        </w:rPr>
        <w:t>/</w:t>
      </w:r>
      <w:proofErr w:type="spellStart"/>
      <w:r w:rsidRPr="006D3372">
        <w:rPr>
          <w:rFonts w:ascii="Times New Roman" w:hAnsi="Times New Roman"/>
          <w:bCs/>
          <w:sz w:val="19"/>
          <w:szCs w:val="19"/>
        </w:rPr>
        <w:t>item</w:t>
      </w:r>
      <w:proofErr w:type="spellEnd"/>
      <w:r w:rsidRPr="006D3372">
        <w:rPr>
          <w:rFonts w:ascii="Times New Roman" w:hAnsi="Times New Roman"/>
          <w:bCs/>
          <w:sz w:val="19"/>
          <w:szCs w:val="19"/>
        </w:rPr>
        <w:t xml:space="preserve">/383-listy-ze-szkolen, </w:t>
      </w:r>
    </w:p>
    <w:p w14:paraId="422115B3" w14:textId="210AB326" w:rsidR="006D3372" w:rsidRPr="00321A37" w:rsidRDefault="00A44396" w:rsidP="00321A37">
      <w:pPr>
        <w:pStyle w:val="BodyText21"/>
        <w:tabs>
          <w:tab w:val="left" w:pos="9639"/>
        </w:tabs>
        <w:spacing w:before="0"/>
        <w:ind w:left="567" w:hanging="283"/>
        <w:rPr>
          <w:rFonts w:ascii="Times New Roman" w:hAnsi="Times New Roman"/>
          <w:bCs/>
          <w:sz w:val="19"/>
          <w:szCs w:val="19"/>
        </w:rPr>
      </w:pPr>
      <w:r w:rsidRPr="006D3372">
        <w:rPr>
          <w:rFonts w:ascii="Times New Roman" w:hAnsi="Times New Roman"/>
          <w:bCs/>
          <w:sz w:val="19"/>
          <w:szCs w:val="19"/>
        </w:rPr>
        <w:t>2)</w:t>
      </w:r>
      <w:r w:rsidRPr="006D3372">
        <w:rPr>
          <w:rFonts w:ascii="Times New Roman" w:hAnsi="Times New Roman"/>
          <w:b/>
          <w:bCs/>
          <w:sz w:val="19"/>
          <w:szCs w:val="19"/>
        </w:rPr>
        <w:t xml:space="preserve"> </w:t>
      </w:r>
      <w:r w:rsidRPr="006D3372">
        <w:rPr>
          <w:rFonts w:ascii="Times New Roman" w:hAnsi="Times New Roman"/>
          <w:b/>
          <w:bCs/>
          <w:sz w:val="19"/>
          <w:szCs w:val="19"/>
        </w:rPr>
        <w:tab/>
      </w:r>
      <w:r w:rsidR="005D5EE0" w:rsidRPr="006D3372">
        <w:rPr>
          <w:rFonts w:ascii="Times New Roman" w:hAnsi="Times New Roman"/>
          <w:b/>
          <w:bCs/>
          <w:sz w:val="19"/>
          <w:szCs w:val="19"/>
        </w:rPr>
        <w:t>www.</w:t>
      </w:r>
      <w:r w:rsidR="005D5EE0" w:rsidRPr="006D3372">
        <w:rPr>
          <w:rFonts w:ascii="Times New Roman" w:hAnsi="Times New Roman"/>
          <w:b/>
          <w:sz w:val="19"/>
          <w:szCs w:val="19"/>
        </w:rPr>
        <w:t>zbp.pl</w:t>
      </w:r>
      <w:r w:rsidR="005D5EE0" w:rsidRPr="006D3372">
        <w:rPr>
          <w:rFonts w:ascii="Times New Roman" w:hAnsi="Times New Roman"/>
          <w:bCs/>
          <w:sz w:val="19"/>
          <w:szCs w:val="19"/>
        </w:rPr>
        <w:t>/dla-bankow/zespoly-rady-i-komitety/finansowanie-nieruchomosci/lista-r-m</w:t>
      </w:r>
      <w:r w:rsidRPr="006D3372">
        <w:rPr>
          <w:rFonts w:ascii="Times New Roman" w:hAnsi="Times New Roman"/>
          <w:bCs/>
          <w:sz w:val="19"/>
          <w:szCs w:val="19"/>
        </w:rPr>
        <w:t>.</w:t>
      </w:r>
    </w:p>
    <w:p w14:paraId="6A1C4B17" w14:textId="472A7040" w:rsidR="007254A5" w:rsidRPr="006D3372" w:rsidRDefault="007254A5" w:rsidP="007254A5">
      <w:pPr>
        <w:spacing w:before="6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3372">
        <w:rPr>
          <w:rFonts w:ascii="Times New Roman" w:hAnsi="Times New Roman" w:cs="Times New Roman"/>
          <w:b/>
          <w:sz w:val="20"/>
          <w:szCs w:val="20"/>
        </w:rPr>
        <w:t>Informacja o dokonywanej ocenie wartości rynkowej przez Bank</w:t>
      </w:r>
    </w:p>
    <w:p w14:paraId="66ABBDA0" w14:textId="77777777" w:rsidR="007254A5" w:rsidRPr="00DF43E7" w:rsidRDefault="001C7FEE" w:rsidP="003E415D">
      <w:pPr>
        <w:pStyle w:val="Akapitzlist"/>
        <w:numPr>
          <w:ilvl w:val="0"/>
          <w:numId w:val="12"/>
        </w:numPr>
        <w:tabs>
          <w:tab w:val="clear" w:pos="2846"/>
        </w:tabs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DF43E7">
        <w:rPr>
          <w:rFonts w:ascii="Times New Roman" w:hAnsi="Times New Roman" w:cs="Times New Roman"/>
          <w:sz w:val="19"/>
          <w:szCs w:val="19"/>
        </w:rPr>
        <w:t>Bank przeprowadza analizę operatu szacunkowego, zarówno pod kątem formalnym (m.in. kompletność załączników, jak i merytorycznym (m.in. parametry i założenia będące podstawą wyceny).</w:t>
      </w:r>
      <w:r w:rsidR="007254A5" w:rsidRPr="00DF43E7">
        <w:rPr>
          <w:rFonts w:ascii="Times New Roman" w:hAnsi="Times New Roman" w:cs="Times New Roman"/>
          <w:sz w:val="19"/>
          <w:szCs w:val="19"/>
        </w:rPr>
        <w:t xml:space="preserve"> W przypadku wątpliwości związanych  z operatem szacunkowym, w celu ich wyjaśnienia, pracownik Banku ma prawo skontaktować się z rzeczoznawcą majątkowym telefonicznie lub za pomocą poczty elektronicznej.</w:t>
      </w:r>
    </w:p>
    <w:p w14:paraId="596A8994" w14:textId="77777777" w:rsidR="006D3372" w:rsidRPr="00DF43E7" w:rsidRDefault="001C7FEE" w:rsidP="003E415D">
      <w:pPr>
        <w:pStyle w:val="Akapitzlist"/>
        <w:numPr>
          <w:ilvl w:val="0"/>
          <w:numId w:val="12"/>
        </w:numPr>
        <w:tabs>
          <w:tab w:val="clear" w:pos="2846"/>
        </w:tabs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DF43E7">
        <w:rPr>
          <w:rFonts w:ascii="Times New Roman" w:hAnsi="Times New Roman" w:cs="Times New Roman"/>
          <w:sz w:val="19"/>
          <w:szCs w:val="19"/>
        </w:rPr>
        <w:t xml:space="preserve">Bank może odmówić zaakceptowania operatu szacunkowego lub zażądać dokonania stosownych poprawek, jeśli </w:t>
      </w:r>
      <w:r w:rsidR="00E33EAA" w:rsidRPr="00DF43E7">
        <w:rPr>
          <w:rFonts w:ascii="Times New Roman" w:hAnsi="Times New Roman" w:cs="Times New Roman"/>
          <w:sz w:val="19"/>
          <w:szCs w:val="19"/>
        </w:rPr>
        <w:br/>
      </w:r>
      <w:r w:rsidRPr="00DF43E7">
        <w:rPr>
          <w:rFonts w:ascii="Times New Roman" w:hAnsi="Times New Roman" w:cs="Times New Roman"/>
          <w:sz w:val="19"/>
          <w:szCs w:val="19"/>
        </w:rPr>
        <w:t>w istotny sposób zostały niedotrzymane wymagania określone w niniejszych Warunkach.</w:t>
      </w:r>
    </w:p>
    <w:p w14:paraId="309AAEF6" w14:textId="65C09A09" w:rsidR="00321A37" w:rsidRPr="000B74B2" w:rsidRDefault="007254A5" w:rsidP="006A42A1">
      <w:pPr>
        <w:pStyle w:val="Akapitzlist"/>
        <w:numPr>
          <w:ilvl w:val="0"/>
          <w:numId w:val="12"/>
        </w:numPr>
        <w:tabs>
          <w:tab w:val="clear" w:pos="2846"/>
        </w:tabs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DF43E7">
        <w:rPr>
          <w:rFonts w:ascii="Times New Roman" w:hAnsi="Times New Roman" w:cs="Times New Roman"/>
          <w:sz w:val="19"/>
          <w:szCs w:val="19"/>
        </w:rPr>
        <w:t>Jeżeli rzeczoznawca w dotychczasowej współpracy z Bankiem nie wykazał się wystarczającą starannością w opracowywaniu operatów tj. wycena zawierała istotne błędy i uchybienia metodologiczne, błędy rzeczowe, operat szacunkowy nie może zostać przyjęty. Bank prowadzi wykaz niepolecanych ww. rzeczoznawców tj. niespełniających jakościowych wymogów w zakresie opracowywanych operatów. W przypadku operatów, w których zidentyfikowano przesłanki niosące znamiona oszustwa, Bank może podjąć właściwe działania prawne, w tym m.in. przekazać wycenę do Komisji Odpowiedzialności Zawodowej lub właściwego Stowarzyszenia Rzeczoznawców Majątkowych</w:t>
      </w:r>
      <w:r w:rsidRPr="006D3372">
        <w:rPr>
          <w:rFonts w:ascii="Times New Roman" w:hAnsi="Times New Roman" w:cs="Times New Roman"/>
          <w:sz w:val="20"/>
          <w:szCs w:val="20"/>
        </w:rPr>
        <w:t>.</w:t>
      </w:r>
    </w:p>
    <w:p w14:paraId="4AEF40C0" w14:textId="4BB66DAF" w:rsidR="00CF7A3E" w:rsidRPr="006D3372" w:rsidRDefault="008D341C" w:rsidP="006A42A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3372">
        <w:rPr>
          <w:rFonts w:ascii="Times New Roman" w:hAnsi="Times New Roman" w:cs="Times New Roman"/>
          <w:b/>
          <w:sz w:val="20"/>
          <w:szCs w:val="20"/>
        </w:rPr>
        <w:lastRenderedPageBreak/>
        <w:t>Załączniki do operatu szacunkowego:</w:t>
      </w:r>
    </w:p>
    <w:tbl>
      <w:tblPr>
        <w:tblStyle w:val="Tabela-Siatka"/>
        <w:tblW w:w="10077" w:type="dxa"/>
        <w:jc w:val="center"/>
        <w:tblLook w:val="04A0" w:firstRow="1" w:lastRow="0" w:firstColumn="1" w:lastColumn="0" w:noHBand="0" w:noVBand="1"/>
      </w:tblPr>
      <w:tblGrid>
        <w:gridCol w:w="454"/>
        <w:gridCol w:w="4127"/>
        <w:gridCol w:w="1316"/>
        <w:gridCol w:w="1316"/>
        <w:gridCol w:w="1077"/>
        <w:gridCol w:w="1787"/>
      </w:tblGrid>
      <w:tr w:rsidR="006D3372" w:rsidRPr="006D3372" w14:paraId="3B4A4D14" w14:textId="77777777" w:rsidTr="006D3372">
        <w:trPr>
          <w:trHeight w:val="1408"/>
          <w:tblHeader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93D5B3" w14:textId="77777777" w:rsidR="00E0052A" w:rsidRPr="006D3372" w:rsidRDefault="00E0052A" w:rsidP="00C163B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A0699" w14:textId="026D3649" w:rsidR="00E0052A" w:rsidRPr="006D3372" w:rsidRDefault="00C800B5" w:rsidP="00C163B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D3372">
              <w:rPr>
                <w:b/>
                <w:color w:val="auto"/>
                <w:sz w:val="18"/>
                <w:szCs w:val="18"/>
              </w:rPr>
              <w:t>Wymagane dokumenty</w:t>
            </w:r>
          </w:p>
          <w:p w14:paraId="2D5BFBDE" w14:textId="32C84CF0" w:rsidR="00E0052A" w:rsidRPr="006D3372" w:rsidRDefault="00E0052A" w:rsidP="00C163B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D3372">
              <w:rPr>
                <w:b/>
                <w:color w:val="auto"/>
                <w:sz w:val="18"/>
                <w:szCs w:val="18"/>
              </w:rPr>
              <w:t>(</w:t>
            </w:r>
            <w:r w:rsidRPr="006D3372">
              <w:rPr>
                <w:i/>
                <w:color w:val="auto"/>
                <w:sz w:val="18"/>
                <w:szCs w:val="18"/>
              </w:rPr>
              <w:t>Dla danego typu nieruchomości należy dołączyć tylko dokumenty oznaczone symbolem „x”)</w:t>
            </w:r>
            <w:r w:rsidR="00F3499A">
              <w:rPr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3CDA36C9" w14:textId="7AE5828D" w:rsidR="00E0052A" w:rsidRPr="006D3372" w:rsidRDefault="00E0052A" w:rsidP="00AF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Nieruchomość </w:t>
            </w:r>
            <w:r w:rsidR="008B0F73"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gruntowa </w:t>
            </w: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zabudowana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48D45" w14:textId="51CE489E" w:rsidR="00E0052A" w:rsidRPr="006D3372" w:rsidRDefault="00E0052A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Nieruchomość </w:t>
            </w:r>
            <w:r w:rsidR="00F4649B"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gruntowa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66357F38" w14:textId="77777777" w:rsidR="00B73269" w:rsidRPr="006D3372" w:rsidRDefault="00F4649B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Lokal </w:t>
            </w:r>
            <w:r w:rsidR="008B0F73"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użytkowy</w:t>
            </w:r>
            <w:r w:rsidR="00B73269"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569F2B45" w14:textId="76423D45" w:rsidR="00E0052A" w:rsidRPr="006D3372" w:rsidRDefault="00B73269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mieszkalny</w:t>
            </w:r>
          </w:p>
          <w:p w14:paraId="045C5827" w14:textId="314200FB" w:rsidR="006A42A1" w:rsidRPr="006D3372" w:rsidRDefault="006A42A1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AEB9A" w14:textId="7B52FE0C" w:rsidR="00AF64C1" w:rsidRPr="006D3372" w:rsidRDefault="006A42A1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Lokal</w:t>
            </w:r>
            <w:r w:rsidR="00FE57D7"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nieruchomość</w:t>
            </w:r>
          </w:p>
          <w:p w14:paraId="65AE799A" w14:textId="55740F4E" w:rsidR="00E0052A" w:rsidRPr="006D3372" w:rsidRDefault="006A42A1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gruntowa zabudowana</w:t>
            </w:r>
            <w:r w:rsidR="00FE57D7"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FF735A9" w14:textId="70C68238" w:rsidR="006A42A1" w:rsidRPr="006D3372" w:rsidRDefault="00E0052A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w realizacji</w:t>
            </w:r>
            <w:r w:rsidR="00174E95"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</w:p>
          <w:p w14:paraId="3B62B1B2" w14:textId="77777777" w:rsidR="006A42A1" w:rsidRPr="006D3372" w:rsidRDefault="006A42A1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budowa/remont/</w:t>
            </w:r>
          </w:p>
          <w:p w14:paraId="717BF3F1" w14:textId="682E5913" w:rsidR="00E0052A" w:rsidRPr="006D3372" w:rsidRDefault="006A42A1" w:rsidP="006A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>wykończenie etc.</w:t>
            </w:r>
            <w:r w:rsidR="00E0052A" w:rsidRPr="006D33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D3372" w:rsidRPr="006A5311" w14:paraId="495D4CB1" w14:textId="77777777" w:rsidTr="006D3372">
        <w:trPr>
          <w:trHeight w:val="24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7BBABB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1B74FD5" w14:textId="77777777" w:rsidR="00D5792D" w:rsidRPr="006A5311" w:rsidRDefault="00D5792D" w:rsidP="00D5792D">
            <w:pPr>
              <w:spacing w:before="6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b/>
                <w:sz w:val="16"/>
                <w:szCs w:val="16"/>
              </w:rPr>
              <w:t>DOKUMENTY PODSTAWOWE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07E6530" w14:textId="77777777" w:rsidR="00D5792D" w:rsidRPr="006A5311" w:rsidRDefault="00D5792D" w:rsidP="00D5792D">
            <w:pPr>
              <w:spacing w:before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BFCAEDD" w14:textId="77777777" w:rsidR="00D5792D" w:rsidRPr="006A5311" w:rsidRDefault="00D5792D" w:rsidP="00D5792D">
            <w:pPr>
              <w:spacing w:before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7CD389E" w14:textId="77777777" w:rsidR="00D5792D" w:rsidRPr="006A5311" w:rsidRDefault="00D5792D" w:rsidP="00D5792D">
            <w:pPr>
              <w:spacing w:before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1C130" w14:textId="77777777" w:rsidR="00D5792D" w:rsidRPr="006A5311" w:rsidRDefault="00D5792D" w:rsidP="00D5792D">
            <w:pPr>
              <w:spacing w:before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D3372" w:rsidRPr="006A5311" w14:paraId="551417DD" w14:textId="77777777" w:rsidTr="00C448CF">
        <w:trPr>
          <w:trHeight w:val="435"/>
          <w:jc w:val="center"/>
        </w:trPr>
        <w:tc>
          <w:tcPr>
            <w:tcW w:w="454" w:type="dxa"/>
          </w:tcPr>
          <w:p w14:paraId="1B53FE9D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27" w:type="dxa"/>
          </w:tcPr>
          <w:p w14:paraId="005B9E7D" w14:textId="4C2C7B25" w:rsidR="00D5792D" w:rsidRPr="00C448CF" w:rsidRDefault="00D5792D" w:rsidP="00D5792D">
            <w:pPr>
              <w:pStyle w:val="Default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C448CF">
              <w:rPr>
                <w:b/>
                <w:bCs/>
                <w:color w:val="auto"/>
                <w:sz w:val="16"/>
                <w:szCs w:val="16"/>
              </w:rPr>
              <w:t xml:space="preserve">Wypis z ewidencji gruntów i budynków – nie starszy niż </w:t>
            </w:r>
            <w:r w:rsidR="00F0020C" w:rsidRPr="00C448CF">
              <w:rPr>
                <w:b/>
                <w:bCs/>
                <w:color w:val="auto"/>
                <w:sz w:val="16"/>
                <w:szCs w:val="16"/>
              </w:rPr>
              <w:t>6</w:t>
            </w:r>
            <w:r w:rsidRPr="00C448CF">
              <w:rPr>
                <w:b/>
                <w:bCs/>
                <w:color w:val="auto"/>
                <w:sz w:val="16"/>
                <w:szCs w:val="16"/>
              </w:rPr>
              <w:t xml:space="preserve"> miesiące</w:t>
            </w:r>
            <w:r w:rsidRPr="00C448CF">
              <w:rPr>
                <w:b/>
                <w:bCs/>
                <w:i/>
                <w:color w:val="auto"/>
                <w:sz w:val="16"/>
                <w:szCs w:val="16"/>
              </w:rPr>
              <w:t xml:space="preserve">) </w:t>
            </w:r>
            <w:r w:rsidRPr="00C448CF">
              <w:rPr>
                <w:b/>
                <w:bCs/>
                <w:color w:val="auto"/>
                <w:sz w:val="16"/>
                <w:szCs w:val="16"/>
              </w:rPr>
              <w:t>licząc od daty wyceny.</w:t>
            </w:r>
          </w:p>
        </w:tc>
        <w:tc>
          <w:tcPr>
            <w:tcW w:w="1316" w:type="dxa"/>
            <w:vAlign w:val="center"/>
          </w:tcPr>
          <w:p w14:paraId="55DBBF88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6A4F9EFE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0B9375A8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3315596A" w14:textId="1BD32C91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101F4815" w14:textId="77777777" w:rsidTr="00C448CF">
        <w:trPr>
          <w:trHeight w:val="498"/>
          <w:jc w:val="center"/>
        </w:trPr>
        <w:tc>
          <w:tcPr>
            <w:tcW w:w="454" w:type="dxa"/>
          </w:tcPr>
          <w:p w14:paraId="0C084774" w14:textId="604DC105" w:rsidR="00D5792D" w:rsidRPr="006A5311" w:rsidRDefault="00AE4A1B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27" w:type="dxa"/>
          </w:tcPr>
          <w:p w14:paraId="34A9D647" w14:textId="1826CEF3" w:rsidR="00D5792D" w:rsidRPr="00C448CF" w:rsidRDefault="00D5792D" w:rsidP="00D5792D">
            <w:pPr>
              <w:pStyle w:val="Default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C448CF">
              <w:rPr>
                <w:b/>
                <w:bCs/>
                <w:color w:val="auto"/>
                <w:sz w:val="16"/>
                <w:szCs w:val="16"/>
              </w:rPr>
              <w:t xml:space="preserve">Odpis z Księgi wieczystej – nie starszy niż </w:t>
            </w:r>
            <w:r w:rsidR="00F0020C" w:rsidRPr="00C448CF">
              <w:rPr>
                <w:b/>
                <w:bCs/>
                <w:color w:val="auto"/>
                <w:sz w:val="16"/>
                <w:szCs w:val="16"/>
              </w:rPr>
              <w:t>6</w:t>
            </w:r>
            <w:r w:rsidRPr="00C448CF">
              <w:rPr>
                <w:b/>
                <w:bCs/>
                <w:color w:val="auto"/>
                <w:sz w:val="16"/>
                <w:szCs w:val="16"/>
              </w:rPr>
              <w:t xml:space="preserve"> miesiące licząc od daty wyceny</w:t>
            </w:r>
          </w:p>
        </w:tc>
        <w:tc>
          <w:tcPr>
            <w:tcW w:w="1316" w:type="dxa"/>
            <w:vAlign w:val="center"/>
          </w:tcPr>
          <w:p w14:paraId="728E30EA" w14:textId="10CE5D49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53F77A04" w14:textId="57DD8499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5810D2C7" w14:textId="6834BB92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187308A4" w14:textId="4A0CAFA6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455464CD" w14:textId="77777777" w:rsidTr="00C448CF">
        <w:trPr>
          <w:trHeight w:val="390"/>
          <w:jc w:val="center"/>
        </w:trPr>
        <w:tc>
          <w:tcPr>
            <w:tcW w:w="454" w:type="dxa"/>
          </w:tcPr>
          <w:p w14:paraId="48B530A4" w14:textId="777B7B05" w:rsidR="00D5792D" w:rsidRPr="006A5311" w:rsidRDefault="00AE4A1B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27" w:type="dxa"/>
          </w:tcPr>
          <w:p w14:paraId="6A17E4D5" w14:textId="1938529C" w:rsidR="00D5792D" w:rsidRPr="00C448CF" w:rsidRDefault="00D5792D" w:rsidP="00D5792D">
            <w:pPr>
              <w:pStyle w:val="Default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C448CF">
              <w:rPr>
                <w:b/>
                <w:bCs/>
                <w:color w:val="auto"/>
                <w:sz w:val="16"/>
                <w:szCs w:val="16"/>
              </w:rPr>
              <w:t xml:space="preserve">Wypis z kartoteki budynków, (nie starszy niż </w:t>
            </w:r>
            <w:r w:rsidR="00F0020C" w:rsidRPr="00C448CF">
              <w:rPr>
                <w:b/>
                <w:bCs/>
                <w:color w:val="auto"/>
                <w:sz w:val="16"/>
                <w:szCs w:val="16"/>
              </w:rPr>
              <w:t>6</w:t>
            </w:r>
            <w:r w:rsidRPr="00C448CF">
              <w:rPr>
                <w:b/>
                <w:bCs/>
                <w:color w:val="auto"/>
                <w:sz w:val="16"/>
                <w:szCs w:val="16"/>
              </w:rPr>
              <w:t xml:space="preserve"> miesiące) </w:t>
            </w:r>
          </w:p>
        </w:tc>
        <w:tc>
          <w:tcPr>
            <w:tcW w:w="1316" w:type="dxa"/>
            <w:vAlign w:val="center"/>
          </w:tcPr>
          <w:p w14:paraId="31B2B6BE" w14:textId="06458982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30195810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7542AC3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52F96995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75C3D503" w14:textId="77777777" w:rsidTr="00474C56">
        <w:trPr>
          <w:trHeight w:val="724"/>
          <w:jc w:val="center"/>
        </w:trPr>
        <w:tc>
          <w:tcPr>
            <w:tcW w:w="454" w:type="dxa"/>
          </w:tcPr>
          <w:p w14:paraId="7EE469C0" w14:textId="224477ED" w:rsidR="00D5792D" w:rsidRPr="006A5311" w:rsidRDefault="00AE4A1B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D5792D" w:rsidRPr="006A53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27" w:type="dxa"/>
          </w:tcPr>
          <w:p w14:paraId="3430EBAC" w14:textId="3F729715" w:rsidR="00D5792D" w:rsidRPr="00C448CF" w:rsidRDefault="00D5792D" w:rsidP="00D5792D">
            <w:pPr>
              <w:pStyle w:val="Default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C448CF">
              <w:rPr>
                <w:b/>
                <w:bCs/>
                <w:color w:val="auto"/>
                <w:sz w:val="16"/>
                <w:szCs w:val="16"/>
              </w:rPr>
              <w:t>Aktualna mapa ewidencyjna – kopia lub wyrys</w:t>
            </w:r>
            <w:r w:rsidR="00AE4A1B" w:rsidRPr="00C448CF">
              <w:rPr>
                <w:b/>
                <w:bCs/>
                <w:color w:val="auto"/>
                <w:sz w:val="16"/>
                <w:szCs w:val="16"/>
              </w:rPr>
              <w:t xml:space="preserve"> lub mapa pobrana z </w:t>
            </w:r>
            <w:proofErr w:type="spellStart"/>
            <w:r w:rsidR="00AE4A1B" w:rsidRPr="00C448CF">
              <w:rPr>
                <w:b/>
                <w:bCs/>
                <w:color w:val="auto"/>
                <w:sz w:val="16"/>
                <w:szCs w:val="16"/>
              </w:rPr>
              <w:t>geoportalu</w:t>
            </w:r>
            <w:proofErr w:type="spellEnd"/>
            <w:r w:rsidR="00AE4A1B" w:rsidRPr="00C448CF">
              <w:rPr>
                <w:b/>
                <w:bCs/>
                <w:color w:val="auto"/>
                <w:sz w:val="16"/>
                <w:szCs w:val="16"/>
              </w:rPr>
              <w:t xml:space="preserve"> (pod warunkiem zgodności z wypisem z ewidencji gruntów).</w:t>
            </w:r>
          </w:p>
          <w:p w14:paraId="1BB9DD3E" w14:textId="44E3A0B8" w:rsidR="00D5792D" w:rsidRPr="00C448CF" w:rsidRDefault="00D5792D" w:rsidP="00D5792D">
            <w:pPr>
              <w:pStyle w:val="Default"/>
              <w:jc w:val="both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14:paraId="44695BFB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8FA7877" w14:textId="7F55BF32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E32D5D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3"/>
            </w:r>
          </w:p>
        </w:tc>
        <w:tc>
          <w:tcPr>
            <w:tcW w:w="1077" w:type="dxa"/>
            <w:vAlign w:val="center"/>
          </w:tcPr>
          <w:p w14:paraId="5BEC1D42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0C2B5761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50CA57DA" w14:textId="77777777" w:rsidTr="006D3372">
        <w:trPr>
          <w:jc w:val="center"/>
        </w:trPr>
        <w:tc>
          <w:tcPr>
            <w:tcW w:w="454" w:type="dxa"/>
            <w:vMerge w:val="restart"/>
          </w:tcPr>
          <w:p w14:paraId="6E98C6BE" w14:textId="187D5E5B" w:rsidR="00D5792D" w:rsidRPr="006A5311" w:rsidRDefault="00AE4A1B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127" w:type="dxa"/>
          </w:tcPr>
          <w:p w14:paraId="760D6846" w14:textId="04714287" w:rsidR="00D5792D" w:rsidRPr="006A5311" w:rsidRDefault="00D5792D" w:rsidP="00D5792D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Dokument potwierdzający zgodność zabudowy/ inwestycji z wymogami Prawa Budowlanego</w:t>
            </w:r>
            <w:r w:rsidR="004E67F1" w:rsidRPr="006A5311">
              <w:rPr>
                <w:color w:val="auto"/>
                <w:sz w:val="16"/>
                <w:szCs w:val="16"/>
              </w:rPr>
              <w:t xml:space="preserve"> </w:t>
            </w:r>
            <w:r w:rsidR="004E67F1" w:rsidRPr="003D3E2C">
              <w:rPr>
                <w:color w:val="auto"/>
                <w:sz w:val="16"/>
                <w:szCs w:val="16"/>
                <w:u w:val="single"/>
              </w:rPr>
              <w:t xml:space="preserve">w </w:t>
            </w:r>
            <w:r w:rsidR="00C92E89" w:rsidRPr="003D3E2C">
              <w:rPr>
                <w:color w:val="auto"/>
                <w:sz w:val="16"/>
                <w:szCs w:val="16"/>
                <w:u w:val="single"/>
              </w:rPr>
              <w:t>przypadku braku budynku w kartotece budynków</w:t>
            </w:r>
            <w:r w:rsidRPr="006A5311">
              <w:rPr>
                <w:color w:val="auto"/>
                <w:sz w:val="16"/>
                <w:szCs w:val="16"/>
              </w:rPr>
              <w:t>, tj. jeden z następujących dokumentów: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7B662C01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19B315D5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14:paraId="06593C69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286F4C2E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6D3372" w:rsidRPr="006A5311" w14:paraId="08664046" w14:textId="77777777" w:rsidTr="006D3372">
        <w:trPr>
          <w:jc w:val="center"/>
        </w:trPr>
        <w:tc>
          <w:tcPr>
            <w:tcW w:w="454" w:type="dxa"/>
            <w:vMerge/>
          </w:tcPr>
          <w:p w14:paraId="370BC23E" w14:textId="58053415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59279705" w14:textId="52FE4912" w:rsidR="00D5792D" w:rsidRPr="006A5311" w:rsidDel="003609C5" w:rsidRDefault="00D5792D" w:rsidP="003E415D">
            <w:pPr>
              <w:pStyle w:val="Default"/>
              <w:numPr>
                <w:ilvl w:val="5"/>
                <w:numId w:val="8"/>
              </w:numPr>
              <w:ind w:left="263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pozwolenie na użytkowanie obiektu – dla obiektów wybudowanych po 2000r.</w:t>
            </w:r>
          </w:p>
        </w:tc>
        <w:tc>
          <w:tcPr>
            <w:tcW w:w="1316" w:type="dxa"/>
            <w:vAlign w:val="center"/>
          </w:tcPr>
          <w:p w14:paraId="5ED97421" w14:textId="6ECAF902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5749039B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71C478C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02F19177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300B7AB2" w14:textId="77777777" w:rsidTr="006D3372">
        <w:trPr>
          <w:jc w:val="center"/>
        </w:trPr>
        <w:tc>
          <w:tcPr>
            <w:tcW w:w="454" w:type="dxa"/>
            <w:vMerge/>
          </w:tcPr>
          <w:p w14:paraId="2DF54C49" w14:textId="5AABE3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367C4850" w14:textId="15C64D6B" w:rsidR="00D5792D" w:rsidRPr="006A5311" w:rsidDel="003609C5" w:rsidRDefault="00D5792D" w:rsidP="003E415D">
            <w:pPr>
              <w:pStyle w:val="Default"/>
              <w:numPr>
                <w:ilvl w:val="5"/>
                <w:numId w:val="8"/>
              </w:numPr>
              <w:ind w:left="263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potwierdzenie przyjęcia zawiadomienia </w:t>
            </w:r>
            <w:r w:rsidRPr="006A5311">
              <w:rPr>
                <w:color w:val="auto"/>
                <w:sz w:val="16"/>
                <w:szCs w:val="16"/>
              </w:rPr>
              <w:br/>
              <w:t xml:space="preserve">o zakończeniu budowy (zgłoszenie) wraz </w:t>
            </w:r>
            <w:r w:rsidRPr="006A5311">
              <w:rPr>
                <w:color w:val="auto"/>
                <w:sz w:val="16"/>
                <w:szCs w:val="16"/>
              </w:rPr>
              <w:br/>
              <w:t>z Zaświadczeniem urzędu o braku sprzeciwu do użytkowania  -– dla obiektów wybudowanych po 2000r.</w:t>
            </w:r>
          </w:p>
        </w:tc>
        <w:tc>
          <w:tcPr>
            <w:tcW w:w="1316" w:type="dxa"/>
            <w:vAlign w:val="center"/>
          </w:tcPr>
          <w:p w14:paraId="58EEFCF4" w14:textId="214BA4F6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636AF8F3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9DD7A17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60A188D7" w14:textId="77777777" w:rsidR="00D5792D" w:rsidRPr="006A5311" w:rsidDel="003609C5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53D95DF7" w14:textId="77777777" w:rsidTr="006D3372">
        <w:trPr>
          <w:jc w:val="center"/>
        </w:trPr>
        <w:tc>
          <w:tcPr>
            <w:tcW w:w="454" w:type="dxa"/>
            <w:vMerge/>
          </w:tcPr>
          <w:p w14:paraId="3C3A4543" w14:textId="0F424445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228001B2" w14:textId="670E766E" w:rsidR="00D5792D" w:rsidRPr="006A5311" w:rsidDel="003609C5" w:rsidRDefault="00D5792D" w:rsidP="003E415D">
            <w:pPr>
              <w:pStyle w:val="Default"/>
              <w:numPr>
                <w:ilvl w:val="5"/>
                <w:numId w:val="8"/>
              </w:numPr>
              <w:ind w:left="263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zaświadczenie o zgodności inwestycji z prawem budowlanym wydane przez właściwy urząd (np. PINB) – dotyczy obiektów wybudowanych po 2000 roku, w przypadku których nie ma możliwości przedstawienia dokumentu wymienionego w punktach  a – b.</w:t>
            </w:r>
          </w:p>
        </w:tc>
        <w:tc>
          <w:tcPr>
            <w:tcW w:w="1316" w:type="dxa"/>
            <w:vAlign w:val="center"/>
          </w:tcPr>
          <w:p w14:paraId="23CDC1CA" w14:textId="7ECC1D24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279017BC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DEB475C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261D79E0" w14:textId="77777777" w:rsidR="00D5792D" w:rsidRPr="006A5311" w:rsidDel="003609C5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3B4678E9" w14:textId="77777777" w:rsidTr="006D3372">
        <w:trPr>
          <w:jc w:val="center"/>
        </w:trPr>
        <w:tc>
          <w:tcPr>
            <w:tcW w:w="454" w:type="dxa"/>
            <w:vMerge/>
          </w:tcPr>
          <w:p w14:paraId="239CB2E6" w14:textId="7598FE1F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48EFE1E2" w14:textId="5A0AFCEF" w:rsidR="00D5792D" w:rsidRPr="006A5311" w:rsidRDefault="00D5792D" w:rsidP="003E415D">
            <w:pPr>
              <w:pStyle w:val="Default"/>
              <w:numPr>
                <w:ilvl w:val="5"/>
                <w:numId w:val="8"/>
              </w:numPr>
              <w:ind w:left="263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pozwolenie na budowę wraz z projektem architektoniczno-budowlanym stanowiącym załącznik do ww. pozwolenia, a zwłaszcza jego istotne fragmenty: strona z pieczęcią potwierdzającą, że projekt stanowi załącznik do ww. pozwolenia; </w:t>
            </w:r>
            <w:r w:rsidR="003D3E2C">
              <w:rPr>
                <w:color w:val="auto"/>
                <w:sz w:val="16"/>
                <w:szCs w:val="16"/>
              </w:rPr>
              <w:t xml:space="preserve">w tym np.: </w:t>
            </w:r>
            <w:r w:rsidRPr="006A5311">
              <w:rPr>
                <w:color w:val="auto"/>
                <w:sz w:val="16"/>
                <w:szCs w:val="16"/>
              </w:rPr>
              <w:t>opis techniczny; mapa/projekt zagospodarowania działki; zestawienie powierzchni; elewacje. Jeżeli decyzja była przenoszona na innego inwestora, zmieniona w części itp. należy przedłożyć również pozwolenie (a) na budowę ulegające zmianie (pierwotne). W przypadku gdy pozwolenie jest starsze niż 3 lata należy dostarczyć kopię Dziennika Budowy.</w:t>
            </w:r>
          </w:p>
        </w:tc>
        <w:tc>
          <w:tcPr>
            <w:tcW w:w="1316" w:type="dxa"/>
            <w:vAlign w:val="center"/>
          </w:tcPr>
          <w:p w14:paraId="35B96C1A" w14:textId="11D72043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2574E27C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0217C00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6F9ED461" w14:textId="17BC99EF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0FFCB99F" w14:textId="77777777" w:rsidTr="006D3372">
        <w:trPr>
          <w:jc w:val="center"/>
        </w:trPr>
        <w:tc>
          <w:tcPr>
            <w:tcW w:w="454" w:type="dxa"/>
            <w:vMerge w:val="restart"/>
          </w:tcPr>
          <w:p w14:paraId="3422214A" w14:textId="480BFCC7" w:rsidR="00D5792D" w:rsidRPr="006A5311" w:rsidRDefault="00AE4A1B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5792D"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</w:tcPr>
          <w:p w14:paraId="1C63EE40" w14:textId="73224C1C" w:rsidR="00D5792D" w:rsidRPr="006A5311" w:rsidRDefault="00D5792D" w:rsidP="00106855">
            <w:pPr>
              <w:pStyle w:val="Default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Dokument potwierdzający powierzchnię użytkową (wymagany o ile formalne dokumenty nie zawierają danych dotyczących powierzchni użytkowej</w:t>
            </w:r>
            <w:r w:rsidR="00106855" w:rsidRPr="006A5311">
              <w:rPr>
                <w:color w:val="auto"/>
                <w:sz w:val="16"/>
                <w:szCs w:val="16"/>
              </w:rPr>
              <w:t xml:space="preserve">/zabudowy </w:t>
            </w:r>
            <w:r w:rsidRPr="006A5311">
              <w:rPr>
                <w:color w:val="auto"/>
                <w:sz w:val="16"/>
                <w:szCs w:val="16"/>
              </w:rPr>
              <w:t xml:space="preserve"> np. księga wieczysta, wypis z rejestru budynków, pozwolenie na użytkowanie), tj. jeden z następujących dokumentów: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40B7C2F9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64BFAD5C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14:paraId="286A99A2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1C94B552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0737BB20" w14:textId="77777777" w:rsidTr="006D3372">
        <w:trPr>
          <w:jc w:val="center"/>
        </w:trPr>
        <w:tc>
          <w:tcPr>
            <w:tcW w:w="454" w:type="dxa"/>
            <w:vMerge/>
          </w:tcPr>
          <w:p w14:paraId="6D69D064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0F6C7F0C" w14:textId="75FA2B9D" w:rsidR="00D5792D" w:rsidRPr="006A5311" w:rsidRDefault="00D5792D" w:rsidP="003E415D">
            <w:pPr>
              <w:pStyle w:val="Default"/>
              <w:numPr>
                <w:ilvl w:val="0"/>
                <w:numId w:val="1"/>
              </w:numPr>
              <w:ind w:left="274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inwentaryzacja powykonawcza budynku,</w:t>
            </w:r>
          </w:p>
        </w:tc>
        <w:tc>
          <w:tcPr>
            <w:tcW w:w="1316" w:type="dxa"/>
            <w:vAlign w:val="center"/>
          </w:tcPr>
          <w:p w14:paraId="5052A66E" w14:textId="5993114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0DC7B736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1CC3FA6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53B2A383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3F963A1D" w14:textId="77777777" w:rsidTr="006D3372">
        <w:trPr>
          <w:jc w:val="center"/>
        </w:trPr>
        <w:tc>
          <w:tcPr>
            <w:tcW w:w="454" w:type="dxa"/>
            <w:vMerge/>
          </w:tcPr>
          <w:p w14:paraId="08B41EDB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011060D9" w14:textId="1C5E2A93" w:rsidR="00D5792D" w:rsidRPr="006A5311" w:rsidRDefault="00D5792D" w:rsidP="003E415D">
            <w:pPr>
              <w:pStyle w:val="Default"/>
              <w:numPr>
                <w:ilvl w:val="0"/>
                <w:numId w:val="1"/>
              </w:numPr>
              <w:ind w:left="274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książka obiektu budowlanego,</w:t>
            </w:r>
          </w:p>
        </w:tc>
        <w:tc>
          <w:tcPr>
            <w:tcW w:w="1316" w:type="dxa"/>
            <w:vAlign w:val="center"/>
          </w:tcPr>
          <w:p w14:paraId="6C601B87" w14:textId="7A0ABBDD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3E0CFAD0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2FECAD1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53B771D1" w14:textId="03A44F4B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2756B2E1" w14:textId="77777777" w:rsidTr="006D3372">
        <w:trPr>
          <w:jc w:val="center"/>
        </w:trPr>
        <w:tc>
          <w:tcPr>
            <w:tcW w:w="454" w:type="dxa"/>
            <w:vMerge/>
          </w:tcPr>
          <w:p w14:paraId="566D0B15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304EFD0C" w14:textId="4C2472B8" w:rsidR="00D5792D" w:rsidRPr="006A5311" w:rsidRDefault="00D5792D" w:rsidP="003E415D">
            <w:pPr>
              <w:pStyle w:val="Default"/>
              <w:numPr>
                <w:ilvl w:val="0"/>
                <w:numId w:val="1"/>
              </w:numPr>
              <w:ind w:left="274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potwierdzenie powierzchni sporządzone przez uprawnioną osobę (np. rzeczoznawcę majątkowego) obejmujące szkic, plan/ rzut obiektu z wymiarami </w:t>
            </w:r>
            <w:r w:rsidRPr="006A5311">
              <w:rPr>
                <w:color w:val="auto"/>
                <w:sz w:val="16"/>
                <w:szCs w:val="16"/>
              </w:rPr>
              <w:br/>
              <w:t>(w tym wysokość) i opisem pomieszczeń,</w:t>
            </w:r>
          </w:p>
        </w:tc>
        <w:tc>
          <w:tcPr>
            <w:tcW w:w="1316" w:type="dxa"/>
            <w:vAlign w:val="center"/>
          </w:tcPr>
          <w:p w14:paraId="614E75B9" w14:textId="46358518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A07152C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CC40018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26445AA8" w14:textId="598EB973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09B7F881" w14:textId="77777777" w:rsidTr="006D3372">
        <w:trPr>
          <w:jc w:val="center"/>
        </w:trPr>
        <w:tc>
          <w:tcPr>
            <w:tcW w:w="454" w:type="dxa"/>
            <w:vMerge/>
          </w:tcPr>
          <w:p w14:paraId="022083B1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3468CCE2" w14:textId="32EC2AF6" w:rsidR="00D5792D" w:rsidRPr="006A5311" w:rsidRDefault="00D5792D" w:rsidP="003E415D">
            <w:pPr>
              <w:pStyle w:val="Default"/>
              <w:numPr>
                <w:ilvl w:val="0"/>
                <w:numId w:val="1"/>
              </w:numPr>
              <w:ind w:left="274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w przypadku zakładów przemysłowych zabudowanych więcej niż 10 budynkami/ budowlami – tabelaryczne zestawienie zawierające nazwę budynku, powierzchnię i jej rodzaj, źródło wskazanej powierzchni, podpisane i opieczętowane przez osobę ze stosownymi uprawnieniami (np.: zarządca nieruchomości, rzeczoznawca majątkowy),</w:t>
            </w:r>
          </w:p>
        </w:tc>
        <w:tc>
          <w:tcPr>
            <w:tcW w:w="1316" w:type="dxa"/>
            <w:vAlign w:val="center"/>
          </w:tcPr>
          <w:p w14:paraId="3388BAB1" w14:textId="2D698B12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F6EF8D0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F4BF53D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200C0F69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76C43ACD" w14:textId="77777777" w:rsidTr="006D3372">
        <w:trPr>
          <w:jc w:val="center"/>
        </w:trPr>
        <w:tc>
          <w:tcPr>
            <w:tcW w:w="454" w:type="dxa"/>
            <w:vMerge/>
          </w:tcPr>
          <w:p w14:paraId="4FF6EA5D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4E89D24B" w14:textId="6CBF536E" w:rsidR="00D5792D" w:rsidRPr="006A5311" w:rsidRDefault="00D5792D" w:rsidP="003E415D">
            <w:pPr>
              <w:pStyle w:val="Default"/>
              <w:numPr>
                <w:ilvl w:val="0"/>
                <w:numId w:val="1"/>
              </w:numPr>
              <w:ind w:left="274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projekt </w:t>
            </w:r>
            <w:proofErr w:type="spellStart"/>
            <w:r w:rsidRPr="006A5311">
              <w:rPr>
                <w:color w:val="auto"/>
                <w:sz w:val="16"/>
                <w:szCs w:val="16"/>
              </w:rPr>
              <w:t>architektoniczno</w:t>
            </w:r>
            <w:proofErr w:type="spellEnd"/>
            <w:r w:rsidRPr="006A5311">
              <w:rPr>
                <w:color w:val="auto"/>
                <w:sz w:val="16"/>
                <w:szCs w:val="16"/>
              </w:rPr>
              <w:t>– budowlany</w:t>
            </w:r>
            <w:r w:rsidR="00313BF6">
              <w:rPr>
                <w:color w:val="auto"/>
                <w:sz w:val="16"/>
                <w:szCs w:val="16"/>
              </w:rPr>
              <w:t>,</w:t>
            </w:r>
            <w:r w:rsidRPr="006A5311">
              <w:rPr>
                <w:color w:val="auto"/>
                <w:sz w:val="16"/>
                <w:szCs w:val="16"/>
              </w:rPr>
              <w:t xml:space="preserve"> zestawienie powierzchni</w:t>
            </w:r>
            <w:r w:rsidR="00313BF6">
              <w:rPr>
                <w:color w:val="auto"/>
                <w:sz w:val="16"/>
                <w:szCs w:val="16"/>
              </w:rPr>
              <w:t>/</w:t>
            </w:r>
            <w:r w:rsidRPr="006A5311">
              <w:rPr>
                <w:color w:val="auto"/>
                <w:sz w:val="16"/>
                <w:szCs w:val="16"/>
              </w:rPr>
              <w:t>opis techniczny</w:t>
            </w:r>
            <w:r w:rsidR="00313BF6">
              <w:rPr>
                <w:color w:val="auto"/>
                <w:sz w:val="16"/>
                <w:szCs w:val="16"/>
              </w:rPr>
              <w:t>/</w:t>
            </w:r>
            <w:r w:rsidRPr="006A5311">
              <w:rPr>
                <w:color w:val="auto"/>
                <w:sz w:val="16"/>
                <w:szCs w:val="16"/>
              </w:rPr>
              <w:t>rzuty kondygnacji,</w:t>
            </w:r>
          </w:p>
        </w:tc>
        <w:tc>
          <w:tcPr>
            <w:tcW w:w="1316" w:type="dxa"/>
            <w:vAlign w:val="center"/>
          </w:tcPr>
          <w:p w14:paraId="18555F4A" w14:textId="16BB42FC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E355DC5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05B17C7" w14:textId="5AF0F9A9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41ABCC2A" w14:textId="56BC51F6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61DD7904" w14:textId="77777777" w:rsidTr="006D3372">
        <w:trPr>
          <w:jc w:val="center"/>
        </w:trPr>
        <w:tc>
          <w:tcPr>
            <w:tcW w:w="454" w:type="dxa"/>
            <w:vMerge/>
          </w:tcPr>
          <w:p w14:paraId="631E8B46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25D1E7F4" w14:textId="619DDB0A" w:rsidR="00D5792D" w:rsidRPr="006A5311" w:rsidRDefault="00D5792D" w:rsidP="003E415D">
            <w:pPr>
              <w:pStyle w:val="Default"/>
              <w:numPr>
                <w:ilvl w:val="0"/>
                <w:numId w:val="1"/>
              </w:numPr>
              <w:ind w:left="274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umowa ustanowienia odrębnej własności lokalu użytkowego, umowa sprzedaży nieruchomości na rynku pierwotnym.</w:t>
            </w:r>
          </w:p>
        </w:tc>
        <w:tc>
          <w:tcPr>
            <w:tcW w:w="1316" w:type="dxa"/>
            <w:vAlign w:val="center"/>
          </w:tcPr>
          <w:p w14:paraId="00BC4839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522B583F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3E542CD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6D409693" w14:textId="76D4B773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674537E3" w14:textId="77777777" w:rsidTr="006D3372">
        <w:trPr>
          <w:jc w:val="center"/>
        </w:trPr>
        <w:tc>
          <w:tcPr>
            <w:tcW w:w="454" w:type="dxa"/>
          </w:tcPr>
          <w:p w14:paraId="49D48B64" w14:textId="3C5BAFDD" w:rsidR="00D5792D" w:rsidRPr="006A5311" w:rsidRDefault="00AE4A1B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="00D5792D"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</w:tcPr>
          <w:p w14:paraId="79F45B4F" w14:textId="7A57CDF6" w:rsidR="00D5792D" w:rsidRPr="006A5311" w:rsidRDefault="00D5792D" w:rsidP="00D5792D">
            <w:pPr>
              <w:pStyle w:val="Default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Urzędowy dokument o przeznaczeniu działki (wraz z załącznikami np. mapy, projekty, wyrysy), tj. jeden z następujących dokumentów:</w:t>
            </w:r>
          </w:p>
          <w:p w14:paraId="2E5FD9B1" w14:textId="48340BE9" w:rsidR="00D5792D" w:rsidRPr="006A5311" w:rsidRDefault="00D5792D" w:rsidP="003E415D">
            <w:pPr>
              <w:pStyle w:val="Default"/>
              <w:numPr>
                <w:ilvl w:val="0"/>
                <w:numId w:val="2"/>
              </w:numPr>
              <w:ind w:left="274" w:hanging="284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wypis/ zaświadczenie z miejscowego planu zagospodarowania przestrzennego (</w:t>
            </w:r>
            <w:proofErr w:type="spellStart"/>
            <w:r w:rsidRPr="006A5311">
              <w:rPr>
                <w:color w:val="auto"/>
                <w:sz w:val="16"/>
                <w:szCs w:val="16"/>
              </w:rPr>
              <w:t>mpzp</w:t>
            </w:r>
            <w:proofErr w:type="spellEnd"/>
            <w:r w:rsidRPr="006A5311">
              <w:rPr>
                <w:color w:val="auto"/>
                <w:sz w:val="16"/>
                <w:szCs w:val="16"/>
              </w:rPr>
              <w:t>)/studium kierunków i zagospodarowania przestrzennego (</w:t>
            </w:r>
            <w:proofErr w:type="spellStart"/>
            <w:r w:rsidRPr="006A5311">
              <w:rPr>
                <w:color w:val="auto"/>
                <w:sz w:val="16"/>
                <w:szCs w:val="16"/>
              </w:rPr>
              <w:t>suizkp</w:t>
            </w:r>
            <w:proofErr w:type="spellEnd"/>
            <w:r w:rsidRPr="006A5311">
              <w:rPr>
                <w:color w:val="auto"/>
                <w:sz w:val="16"/>
                <w:szCs w:val="16"/>
              </w:rPr>
              <w:t>)</w:t>
            </w:r>
            <w:r w:rsidR="008B589E" w:rsidRPr="006A5311">
              <w:rPr>
                <w:color w:val="auto"/>
                <w:sz w:val="16"/>
                <w:szCs w:val="16"/>
              </w:rPr>
              <w:t>*</w:t>
            </w:r>
            <w:r w:rsidRPr="006A5311">
              <w:rPr>
                <w:color w:val="auto"/>
                <w:sz w:val="16"/>
                <w:szCs w:val="16"/>
              </w:rPr>
              <w:t xml:space="preserve"> </w:t>
            </w:r>
            <w:r w:rsidR="008B589E" w:rsidRPr="006A5311">
              <w:rPr>
                <w:color w:val="auto"/>
                <w:sz w:val="16"/>
                <w:szCs w:val="16"/>
              </w:rPr>
              <w:t>/ planu ogólnego gminy</w:t>
            </w:r>
            <w:r w:rsidR="008B589E" w:rsidRPr="006A5311">
              <w:rPr>
                <w:rStyle w:val="markedcontent"/>
                <w:i/>
                <w:color w:val="auto"/>
                <w:sz w:val="16"/>
                <w:szCs w:val="16"/>
              </w:rPr>
              <w:t xml:space="preserve"> </w:t>
            </w:r>
            <w:r w:rsidRPr="006A5311">
              <w:rPr>
                <w:color w:val="auto"/>
                <w:sz w:val="16"/>
                <w:szCs w:val="16"/>
              </w:rPr>
              <w:t>– w formie dokumentu wydanego przez Urząd Gminy/ Miasta z określeniem lokalizacji  (ulica, numer działki, obręb geodezyjny),</w:t>
            </w:r>
          </w:p>
          <w:p w14:paraId="2E2F15AC" w14:textId="77777777" w:rsidR="00D5792D" w:rsidRPr="006A5311" w:rsidRDefault="00D5792D" w:rsidP="003E415D">
            <w:pPr>
              <w:pStyle w:val="Default"/>
              <w:numPr>
                <w:ilvl w:val="0"/>
                <w:numId w:val="2"/>
              </w:numPr>
              <w:ind w:left="274" w:hanging="284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ostateczna decyzja o warunkach zabudowy – w przypadku braku obowiązującego planu, </w:t>
            </w:r>
          </w:p>
          <w:p w14:paraId="5F5F2E11" w14:textId="77777777" w:rsidR="00D5792D" w:rsidRPr="006A5311" w:rsidRDefault="00D5792D" w:rsidP="003E415D">
            <w:pPr>
              <w:pStyle w:val="Default"/>
              <w:numPr>
                <w:ilvl w:val="0"/>
                <w:numId w:val="2"/>
              </w:numPr>
              <w:ind w:left="274" w:hanging="284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pozwolenie na budowę (ostateczna decyzja). </w:t>
            </w:r>
          </w:p>
        </w:tc>
        <w:tc>
          <w:tcPr>
            <w:tcW w:w="1316" w:type="dxa"/>
            <w:vAlign w:val="center"/>
          </w:tcPr>
          <w:p w14:paraId="6177200F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3215D024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09DED61D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44C8D2A1" w14:textId="28A093CC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20959678" w14:textId="77777777" w:rsidTr="006D3372">
        <w:trPr>
          <w:jc w:val="center"/>
        </w:trPr>
        <w:tc>
          <w:tcPr>
            <w:tcW w:w="454" w:type="dxa"/>
            <w:tcBorders>
              <w:bottom w:val="single" w:sz="4" w:space="0" w:color="auto"/>
            </w:tcBorders>
          </w:tcPr>
          <w:p w14:paraId="657DF1A7" w14:textId="6FCA5E91" w:rsidR="00D5792D" w:rsidRPr="006A5311" w:rsidRDefault="00AE4A1B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5792D"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  <w:tcBorders>
              <w:bottom w:val="single" w:sz="4" w:space="0" w:color="auto"/>
            </w:tcBorders>
          </w:tcPr>
          <w:p w14:paraId="2BAC8CFA" w14:textId="77777777" w:rsidR="00D5792D" w:rsidRPr="006A5311" w:rsidRDefault="00D5792D" w:rsidP="00D57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Dokumentacja fotograficzna:</w:t>
            </w:r>
          </w:p>
          <w:p w14:paraId="15A92F96" w14:textId="77777777" w:rsidR="00D5792D" w:rsidRPr="006A5311" w:rsidRDefault="00D5792D" w:rsidP="003E415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0" w:hanging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droga dojazdowa z widokiem na wycenianą nieruchomość,</w:t>
            </w:r>
          </w:p>
          <w:p w14:paraId="16933C07" w14:textId="77777777" w:rsidR="00D5792D" w:rsidRPr="006A5311" w:rsidRDefault="00D5792D" w:rsidP="003E415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0" w:hanging="289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bezpośrednie sąsiedztwo wycenianej nieruchomości,</w:t>
            </w:r>
          </w:p>
          <w:p w14:paraId="2972844E" w14:textId="77777777" w:rsidR="00D5792D" w:rsidRPr="006A5311" w:rsidRDefault="00D5792D" w:rsidP="003E415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0" w:hanging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zagospodarowanie terenu, w tym elementy małej architektury,</w:t>
            </w:r>
          </w:p>
          <w:p w14:paraId="294A5ACF" w14:textId="678EC891" w:rsidR="00D5792D" w:rsidRPr="006A5311" w:rsidRDefault="00D5792D" w:rsidP="003E415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0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elewacje budynku z uwzględnieniem uszkodzeń, ubytków i spękań,</w:t>
            </w:r>
          </w:p>
          <w:p w14:paraId="248A9310" w14:textId="77777777" w:rsidR="00D5792D" w:rsidRPr="006A5311" w:rsidRDefault="00D5792D" w:rsidP="003E415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0" w:hanging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wnętrza budynku (wnętrza pomieszczeń oraz części przeznaczonych do wspólnego użytku np. klatki schodowe),</w:t>
            </w:r>
          </w:p>
          <w:p w14:paraId="73389ACF" w14:textId="028821C5" w:rsidR="00D5792D" w:rsidRPr="006A5311" w:rsidRDefault="00D5792D" w:rsidP="003E415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0" w:hanging="289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 xml:space="preserve">inne czynniki wpływające na ograniczenia </w:t>
            </w:r>
            <w:r w:rsidRPr="006A5311">
              <w:rPr>
                <w:rFonts w:ascii="Times New Roman" w:hAnsi="Times New Roman" w:cs="Times New Roman"/>
                <w:sz w:val="16"/>
                <w:szCs w:val="16"/>
              </w:rPr>
              <w:br/>
              <w:t>w użytkowaniu nieruchomości (np. urządzenia, obszary składowania niebezpiecznych substancji).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5D97FAC6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C5646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7F0674D2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CA1BD" w14:textId="57A71C8B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393C1383" w14:textId="77777777" w:rsidTr="006D3372">
        <w:trPr>
          <w:jc w:val="center"/>
        </w:trPr>
        <w:tc>
          <w:tcPr>
            <w:tcW w:w="454" w:type="dxa"/>
            <w:tcBorders>
              <w:top w:val="single" w:sz="4" w:space="0" w:color="auto"/>
            </w:tcBorders>
          </w:tcPr>
          <w:p w14:paraId="01C40C05" w14:textId="737B31FE" w:rsidR="00D5792D" w:rsidRPr="006A5311" w:rsidRDefault="003D3E2C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5792D"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  <w:tcBorders>
              <w:top w:val="single" w:sz="4" w:space="0" w:color="auto"/>
            </w:tcBorders>
          </w:tcPr>
          <w:p w14:paraId="590DBD3C" w14:textId="0696B0D2" w:rsidR="00D5792D" w:rsidRPr="006A5311" w:rsidRDefault="00D5792D" w:rsidP="00D5792D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Dokument potwierdzający prawny dostęp do drogi publicznej (</w:t>
            </w:r>
            <w:r w:rsidRPr="005F1B8B">
              <w:rPr>
                <w:color w:val="auto"/>
                <w:sz w:val="16"/>
                <w:szCs w:val="16"/>
                <w:u w:val="single"/>
              </w:rPr>
              <w:t>wymagany w przypadku braku bezpośredniego dostępu</w:t>
            </w:r>
            <w:r w:rsidRPr="006A5311">
              <w:rPr>
                <w:color w:val="auto"/>
                <w:sz w:val="16"/>
                <w:szCs w:val="16"/>
              </w:rPr>
              <w:t xml:space="preserve"> do drogi publicznej</w:t>
            </w:r>
            <w:r w:rsidR="001C6E05">
              <w:rPr>
                <w:color w:val="auto"/>
                <w:sz w:val="16"/>
                <w:szCs w:val="16"/>
              </w:rPr>
              <w:t xml:space="preserve">, </w:t>
            </w:r>
            <w:r w:rsidR="00FE4683">
              <w:rPr>
                <w:color w:val="auto"/>
                <w:sz w:val="16"/>
                <w:szCs w:val="16"/>
              </w:rPr>
              <w:t xml:space="preserve">braku </w:t>
            </w:r>
            <w:r w:rsidR="001C6E05">
              <w:rPr>
                <w:color w:val="auto"/>
                <w:sz w:val="16"/>
                <w:szCs w:val="16"/>
              </w:rPr>
              <w:t xml:space="preserve">ustanowionej </w:t>
            </w:r>
            <w:r w:rsidR="00FE4683">
              <w:rPr>
                <w:color w:val="auto"/>
                <w:sz w:val="16"/>
                <w:szCs w:val="16"/>
              </w:rPr>
              <w:t>służebności</w:t>
            </w:r>
            <w:r w:rsidRPr="006A5311">
              <w:rPr>
                <w:color w:val="auto"/>
                <w:sz w:val="16"/>
                <w:szCs w:val="16"/>
              </w:rPr>
              <w:t xml:space="preserve">), tj. </w:t>
            </w:r>
            <w:r w:rsidR="00D74A2C">
              <w:rPr>
                <w:color w:val="auto"/>
                <w:sz w:val="16"/>
                <w:szCs w:val="16"/>
              </w:rPr>
              <w:t xml:space="preserve">np. </w:t>
            </w:r>
            <w:r w:rsidRPr="006A5311">
              <w:rPr>
                <w:color w:val="auto"/>
                <w:sz w:val="16"/>
                <w:szCs w:val="16"/>
              </w:rPr>
              <w:t>jeden z następujących:</w:t>
            </w:r>
          </w:p>
          <w:p w14:paraId="7F219815" w14:textId="77777777" w:rsidR="00D5792D" w:rsidRPr="006A5311" w:rsidRDefault="00D5792D" w:rsidP="003E415D">
            <w:pPr>
              <w:pStyle w:val="Default"/>
              <w:numPr>
                <w:ilvl w:val="0"/>
                <w:numId w:val="4"/>
              </w:numPr>
              <w:ind w:left="274" w:hanging="273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zaświadczenie z Urzędu Gminy/ Miasta/Zarządu Dróg lub innego właściwego organu o obsłudze komunikacyjnej nieruchomości,</w:t>
            </w:r>
          </w:p>
          <w:p w14:paraId="341C0D41" w14:textId="5AC9A75E" w:rsidR="00D5792D" w:rsidRPr="003678A7" w:rsidRDefault="00D5792D" w:rsidP="003678A7">
            <w:pPr>
              <w:pStyle w:val="Default"/>
              <w:numPr>
                <w:ilvl w:val="0"/>
                <w:numId w:val="4"/>
              </w:numPr>
              <w:ind w:left="274" w:hanging="273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odpis(-y) z księgi wieczystej dla nieruchomości stanowiącej (-</w:t>
            </w:r>
            <w:proofErr w:type="spellStart"/>
            <w:r w:rsidRPr="006A5311">
              <w:rPr>
                <w:color w:val="auto"/>
                <w:sz w:val="16"/>
                <w:szCs w:val="16"/>
              </w:rPr>
              <w:t>ych</w:t>
            </w:r>
            <w:proofErr w:type="spellEnd"/>
            <w:r w:rsidRPr="006A5311">
              <w:rPr>
                <w:color w:val="auto"/>
                <w:sz w:val="16"/>
                <w:szCs w:val="16"/>
              </w:rPr>
              <w:t>) drogę (-i), zapewniającej (-</w:t>
            </w:r>
            <w:proofErr w:type="spellStart"/>
            <w:r w:rsidRPr="006A5311">
              <w:rPr>
                <w:color w:val="auto"/>
                <w:sz w:val="16"/>
                <w:szCs w:val="16"/>
              </w:rPr>
              <w:t>ych</w:t>
            </w:r>
            <w:proofErr w:type="spellEnd"/>
            <w:r w:rsidRPr="006A5311">
              <w:rPr>
                <w:color w:val="auto"/>
                <w:sz w:val="16"/>
                <w:szCs w:val="16"/>
              </w:rPr>
              <w:t xml:space="preserve">) dostęp do drogi publicznej – o ile dostęp do tej drogi odbywa się </w:t>
            </w:r>
            <w:r w:rsidRPr="003D3E2C">
              <w:rPr>
                <w:color w:val="auto"/>
                <w:sz w:val="16"/>
                <w:szCs w:val="16"/>
              </w:rPr>
              <w:t>przez udział</w:t>
            </w:r>
            <w:r w:rsidRPr="006A5311">
              <w:rPr>
                <w:color w:val="auto"/>
                <w:sz w:val="16"/>
                <w:szCs w:val="16"/>
              </w:rPr>
              <w:t xml:space="preserve"> w drodze wewnętrznej,</w:t>
            </w:r>
          </w:p>
          <w:p w14:paraId="1E315144" w14:textId="17BA0ECB" w:rsidR="00D5792D" w:rsidRPr="006A5311" w:rsidRDefault="00D5792D" w:rsidP="003E415D">
            <w:pPr>
              <w:pStyle w:val="Default"/>
              <w:numPr>
                <w:ilvl w:val="0"/>
                <w:numId w:val="4"/>
              </w:numPr>
              <w:ind w:left="274" w:hanging="273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decyzja podziałowa określająca prawny dostęp do drogi publicznej.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65075752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DD8C7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9622B06" w14:textId="2F93289D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97221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2B7F174E" w14:textId="77777777" w:rsidTr="006D3372">
        <w:trPr>
          <w:jc w:val="center"/>
        </w:trPr>
        <w:tc>
          <w:tcPr>
            <w:tcW w:w="454" w:type="dxa"/>
            <w:vMerge w:val="restart"/>
          </w:tcPr>
          <w:p w14:paraId="06D73F39" w14:textId="3CB93CAD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3E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</w:tcPr>
          <w:p w14:paraId="4172F30D" w14:textId="5308E2DC" w:rsidR="00D5792D" w:rsidRPr="006A5311" w:rsidRDefault="00D5792D" w:rsidP="00D5792D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Podstawa nabycia: 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71E3197A" w14:textId="5E99B1BB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305562C5" w14:textId="494433F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14:paraId="56BAE65F" w14:textId="588A6D2F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5B24BD4D" w14:textId="518B97D6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61256E40" w14:textId="77777777" w:rsidTr="006D3372">
        <w:trPr>
          <w:jc w:val="center"/>
        </w:trPr>
        <w:tc>
          <w:tcPr>
            <w:tcW w:w="454" w:type="dxa"/>
            <w:vMerge/>
          </w:tcPr>
          <w:p w14:paraId="296C0F22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318D5BAD" w14:textId="0F4F102D" w:rsidR="00D5792D" w:rsidRPr="006A5311" w:rsidRDefault="00D5792D" w:rsidP="00D5792D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a) przy nabywaniu nieruchomości np. przedwstępna umowa kupna-sprzedaży nieruchomości, rezerwacyjna, ogłoszenie o przetargu, protokół z przeprowadzonego przetargu, etc.;  </w:t>
            </w:r>
          </w:p>
        </w:tc>
        <w:tc>
          <w:tcPr>
            <w:tcW w:w="1316" w:type="dxa"/>
            <w:vAlign w:val="center"/>
          </w:tcPr>
          <w:p w14:paraId="1702CAE6" w14:textId="63C3A8B2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612EA53B" w14:textId="0F7F9606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5585B3CE" w14:textId="642BA38E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054FCAD8" w14:textId="2CAB21B3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38EBF0D7" w14:textId="77777777" w:rsidTr="006D3372">
        <w:trPr>
          <w:jc w:val="center"/>
        </w:trPr>
        <w:tc>
          <w:tcPr>
            <w:tcW w:w="454" w:type="dxa"/>
            <w:vMerge/>
          </w:tcPr>
          <w:p w14:paraId="0898F125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6E67BF1A" w14:textId="08046F42" w:rsidR="00D5792D" w:rsidRPr="006A5311" w:rsidRDefault="00D5792D" w:rsidP="00D5792D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b) </w:t>
            </w:r>
            <w:r w:rsidRPr="005F1B8B">
              <w:rPr>
                <w:color w:val="auto"/>
                <w:sz w:val="16"/>
                <w:szCs w:val="16"/>
              </w:rPr>
              <w:t>przy przyjmowaniu nieruchomości jako zabezpieczenie: umowa kupna-sprzedaży</w:t>
            </w:r>
            <w:r w:rsidR="006D3372" w:rsidRPr="005F1B8B">
              <w:rPr>
                <w:color w:val="auto"/>
                <w:sz w:val="16"/>
                <w:szCs w:val="16"/>
              </w:rPr>
              <w:t>,</w:t>
            </w:r>
            <w:r w:rsidRPr="006A5311">
              <w:rPr>
                <w:color w:val="auto"/>
                <w:sz w:val="16"/>
                <w:szCs w:val="16"/>
              </w:rPr>
              <w:t xml:space="preserve"> umowa darowizny, umowa przekazania gospodarstwa rolnego, etc.</w:t>
            </w:r>
            <w:r w:rsidR="0016770A">
              <w:rPr>
                <w:color w:val="auto"/>
                <w:sz w:val="16"/>
                <w:szCs w:val="16"/>
              </w:rPr>
              <w:t xml:space="preserve"> </w:t>
            </w:r>
            <w:r w:rsidR="00A56ED6" w:rsidRPr="007B1CEC">
              <w:rPr>
                <w:color w:val="auto"/>
                <w:sz w:val="14"/>
                <w:szCs w:val="14"/>
              </w:rPr>
              <w:t>(</w:t>
            </w:r>
            <w:r w:rsidR="00A56ED6" w:rsidRPr="007B1CEC">
              <w:rPr>
                <w:bCs/>
                <w:i/>
                <w:iCs/>
                <w:color w:val="auto"/>
                <w:sz w:val="14"/>
                <w:szCs w:val="14"/>
              </w:rPr>
              <w:t xml:space="preserve">dot. podstawy nabycia nie starszej niż 24 </w:t>
            </w:r>
            <w:r w:rsidR="007B1CEC" w:rsidRPr="007B1CEC">
              <w:rPr>
                <w:bCs/>
                <w:i/>
                <w:iCs/>
                <w:color w:val="auto"/>
                <w:sz w:val="14"/>
                <w:szCs w:val="14"/>
              </w:rPr>
              <w:t>miesiąc</w:t>
            </w:r>
            <w:r w:rsidR="007B1CEC">
              <w:rPr>
                <w:bCs/>
                <w:i/>
                <w:iCs/>
                <w:color w:val="auto"/>
                <w:sz w:val="14"/>
                <w:szCs w:val="14"/>
              </w:rPr>
              <w:t>e</w:t>
            </w:r>
            <w:r w:rsidR="00A56ED6" w:rsidRPr="007B1CEC">
              <w:rPr>
                <w:bCs/>
                <w:i/>
                <w:iCs/>
                <w:color w:val="auto"/>
                <w:sz w:val="14"/>
                <w:szCs w:val="14"/>
              </w:rPr>
              <w:t xml:space="preserve"> na dzień sporządzenia operatu)</w:t>
            </w:r>
          </w:p>
        </w:tc>
        <w:tc>
          <w:tcPr>
            <w:tcW w:w="1316" w:type="dxa"/>
            <w:vAlign w:val="center"/>
          </w:tcPr>
          <w:p w14:paraId="1D1B3E29" w14:textId="3C388860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392C6C28" w14:textId="5FD49521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783E1C62" w14:textId="7969ED0D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01D3E45A" w14:textId="110C7EA4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3124CF53" w14:textId="77777777" w:rsidTr="006D3372">
        <w:trPr>
          <w:jc w:val="center"/>
        </w:trPr>
        <w:tc>
          <w:tcPr>
            <w:tcW w:w="454" w:type="dxa"/>
            <w:vMerge w:val="restart"/>
          </w:tcPr>
          <w:p w14:paraId="0F6ADB78" w14:textId="692440B9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3E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</w:tcPr>
          <w:p w14:paraId="11723D8C" w14:textId="00EF72CE" w:rsidR="00D5792D" w:rsidRPr="006A5311" w:rsidDel="000F44D6" w:rsidRDefault="00D5792D" w:rsidP="00D5792D">
            <w:pPr>
              <w:pStyle w:val="Default"/>
              <w:ind w:right="34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Inne dokumenty techniczno-prawne (o ile dotyczą) będące podstawą wyceny i mogące mieć wpływ na wartość nieruchomości, np.: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66AFEB1D" w14:textId="77777777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05DBADC7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14:paraId="57A65088" w14:textId="77777777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226C55D0" w14:textId="77777777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015895AA" w14:textId="77777777" w:rsidTr="006D3372">
        <w:trPr>
          <w:jc w:val="center"/>
        </w:trPr>
        <w:tc>
          <w:tcPr>
            <w:tcW w:w="454" w:type="dxa"/>
            <w:vMerge/>
          </w:tcPr>
          <w:p w14:paraId="2F55A7E9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04175C61" w14:textId="22F56812" w:rsidR="00D5792D" w:rsidRPr="006A5311" w:rsidDel="000F44D6" w:rsidRDefault="00D5792D" w:rsidP="003E415D">
            <w:pPr>
              <w:pStyle w:val="Default"/>
              <w:numPr>
                <w:ilvl w:val="0"/>
                <w:numId w:val="13"/>
              </w:numPr>
              <w:ind w:left="282" w:right="34" w:hanging="282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świadectwo legalizacji odmierzaczy, decyzja Urzędu Dozoru Technicznego zezwalającą na eksploatację zbiorników paliw, protokół okresowego badania zbiorników paliw/gazów, koncesja na sprzedaż paliw/alkoholi,</w:t>
            </w:r>
          </w:p>
        </w:tc>
        <w:tc>
          <w:tcPr>
            <w:tcW w:w="1316" w:type="dxa"/>
            <w:vAlign w:val="center"/>
          </w:tcPr>
          <w:p w14:paraId="0F3FBAB3" w14:textId="7EA45397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AEA271E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3EB6552" w14:textId="0127C690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189AAFD7" w14:textId="4C790436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6A5311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4"/>
            </w:r>
          </w:p>
        </w:tc>
      </w:tr>
      <w:tr w:rsidR="006D3372" w:rsidRPr="006A5311" w14:paraId="7E64B2CA" w14:textId="77777777" w:rsidTr="006D3372">
        <w:trPr>
          <w:jc w:val="center"/>
        </w:trPr>
        <w:tc>
          <w:tcPr>
            <w:tcW w:w="454" w:type="dxa"/>
            <w:vMerge/>
          </w:tcPr>
          <w:p w14:paraId="778E201A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22726A87" w14:textId="1D7FA31A" w:rsidR="00D5792D" w:rsidRPr="006A5311" w:rsidRDefault="00D5792D" w:rsidP="003E415D">
            <w:pPr>
              <w:pStyle w:val="Default"/>
              <w:numPr>
                <w:ilvl w:val="0"/>
                <w:numId w:val="13"/>
              </w:numPr>
              <w:ind w:left="282" w:right="34" w:hanging="282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decyzja</w:t>
            </w:r>
            <w:r w:rsidR="003D3E2C">
              <w:rPr>
                <w:color w:val="auto"/>
                <w:sz w:val="16"/>
                <w:szCs w:val="16"/>
              </w:rPr>
              <w:t>/informacja</w:t>
            </w:r>
            <w:r w:rsidRPr="006A5311">
              <w:rPr>
                <w:color w:val="auto"/>
                <w:sz w:val="16"/>
                <w:szCs w:val="16"/>
              </w:rPr>
              <w:t xml:space="preserve"> o wpisie do rejestru zabytków/ pozwolenie na prowadzenie prac konserwatorskich, restauratorskich lub robót budowlanych przy zabytku wpisanym do rejestru zabytków,</w:t>
            </w:r>
          </w:p>
        </w:tc>
        <w:tc>
          <w:tcPr>
            <w:tcW w:w="1316" w:type="dxa"/>
            <w:vAlign w:val="center"/>
          </w:tcPr>
          <w:p w14:paraId="1A6D71DF" w14:textId="25B698FE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73B62DA8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F028855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0F34F9ED" w14:textId="32E1F7D0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5D7D8A22" w14:textId="77777777" w:rsidTr="006D3372">
        <w:trPr>
          <w:jc w:val="center"/>
        </w:trPr>
        <w:tc>
          <w:tcPr>
            <w:tcW w:w="454" w:type="dxa"/>
            <w:vMerge/>
          </w:tcPr>
          <w:p w14:paraId="6F0352DF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6D8F3A4F" w14:textId="19388ABE" w:rsidR="00D5792D" w:rsidRPr="006A5311" w:rsidRDefault="00D5792D" w:rsidP="003E415D">
            <w:pPr>
              <w:pStyle w:val="Default"/>
              <w:numPr>
                <w:ilvl w:val="0"/>
                <w:numId w:val="13"/>
              </w:numPr>
              <w:ind w:left="282" w:right="34" w:hanging="282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zaświadczenie/ informacja o położeniu nieruchomości obszarze ochrony archeologicznej/ stanowiskach archeologicznych,</w:t>
            </w:r>
          </w:p>
        </w:tc>
        <w:tc>
          <w:tcPr>
            <w:tcW w:w="1316" w:type="dxa"/>
            <w:vAlign w:val="center"/>
          </w:tcPr>
          <w:p w14:paraId="2ABCC7EF" w14:textId="2E9C52A1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274EF092" w14:textId="3E1AAA6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1A6FD53A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4F53D0C9" w14:textId="200808F0" w:rsidR="00D5792D" w:rsidRPr="006A5311" w:rsidDel="000F44D6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5B492C62" w14:textId="77777777" w:rsidTr="006D3372">
        <w:trPr>
          <w:jc w:val="center"/>
        </w:trPr>
        <w:tc>
          <w:tcPr>
            <w:tcW w:w="454" w:type="dxa"/>
            <w:vMerge/>
          </w:tcPr>
          <w:p w14:paraId="1F7115E4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506184C6" w14:textId="385D7648" w:rsidR="00D5792D" w:rsidRPr="006A5311" w:rsidRDefault="00D5792D" w:rsidP="003E415D">
            <w:pPr>
              <w:pStyle w:val="Default"/>
              <w:numPr>
                <w:ilvl w:val="0"/>
                <w:numId w:val="13"/>
              </w:numPr>
              <w:ind w:left="282" w:right="34" w:hanging="282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ekspertyza budowlana w przypadku nieruchomości, których stan techniczny budzi istotne wątpliwości pracownika Banku</w:t>
            </w:r>
          </w:p>
        </w:tc>
        <w:tc>
          <w:tcPr>
            <w:tcW w:w="1316" w:type="dxa"/>
            <w:vAlign w:val="center"/>
          </w:tcPr>
          <w:p w14:paraId="482F7B91" w14:textId="65612BB8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60A44922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99686EE" w14:textId="7D9E37CF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3EC30951" w14:textId="39CFEC06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6DACA247" w14:textId="77777777" w:rsidTr="006D3372">
        <w:trPr>
          <w:jc w:val="center"/>
        </w:trPr>
        <w:tc>
          <w:tcPr>
            <w:tcW w:w="454" w:type="dxa"/>
            <w:vMerge/>
          </w:tcPr>
          <w:p w14:paraId="4C908B39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6039DB01" w14:textId="2382A915" w:rsidR="00D5792D" w:rsidRPr="006A5311" w:rsidRDefault="00D5792D" w:rsidP="003E415D">
            <w:pPr>
              <w:pStyle w:val="Default"/>
              <w:numPr>
                <w:ilvl w:val="0"/>
                <w:numId w:val="13"/>
              </w:numPr>
              <w:ind w:left="282" w:right="34" w:hanging="282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koncesja na eksploatację kopalin, ekspertyza geologiczna złoża, dokumentacja potwierdzająca wydobycie itp.,</w:t>
            </w:r>
          </w:p>
        </w:tc>
        <w:tc>
          <w:tcPr>
            <w:tcW w:w="1316" w:type="dxa"/>
            <w:vAlign w:val="center"/>
          </w:tcPr>
          <w:p w14:paraId="26939247" w14:textId="0724927B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065F6A44" w14:textId="65F43036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157C5639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5E047FED" w14:textId="3B89EA60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0F88E2C9" w14:textId="77777777" w:rsidTr="006D3372">
        <w:trPr>
          <w:jc w:val="center"/>
        </w:trPr>
        <w:tc>
          <w:tcPr>
            <w:tcW w:w="454" w:type="dxa"/>
          </w:tcPr>
          <w:p w14:paraId="31F3998F" w14:textId="77777777" w:rsidR="00D5792D" w:rsidRPr="006A5311" w:rsidRDefault="00D5792D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5822EC5F" w14:textId="77777777" w:rsidR="004B1F86" w:rsidRPr="006A5311" w:rsidRDefault="00D5792D" w:rsidP="003E415D">
            <w:pPr>
              <w:pStyle w:val="Default"/>
              <w:numPr>
                <w:ilvl w:val="0"/>
                <w:numId w:val="13"/>
              </w:numPr>
              <w:ind w:left="282" w:right="34" w:hanging="282"/>
              <w:jc w:val="both"/>
              <w:rPr>
                <w:color w:val="auto"/>
                <w:sz w:val="16"/>
                <w:szCs w:val="16"/>
              </w:rPr>
            </w:pPr>
            <w:r w:rsidRPr="00D74A2C">
              <w:rPr>
                <w:b/>
                <w:bCs/>
                <w:color w:val="auto"/>
                <w:sz w:val="16"/>
                <w:szCs w:val="16"/>
              </w:rPr>
              <w:t>świadectwo charakterystyki energetycznej</w:t>
            </w:r>
            <w:r w:rsidR="004B1F86" w:rsidRPr="006A5311">
              <w:rPr>
                <w:color w:val="auto"/>
                <w:sz w:val="16"/>
                <w:szCs w:val="16"/>
              </w:rPr>
              <w:t>,</w:t>
            </w:r>
          </w:p>
          <w:p w14:paraId="6956CF26" w14:textId="4EB02FB4" w:rsidR="00A93FBE" w:rsidRPr="006A5311" w:rsidRDefault="00055FED" w:rsidP="004B1F86">
            <w:pPr>
              <w:pStyle w:val="Default"/>
              <w:ind w:left="282" w:right="34"/>
              <w:jc w:val="both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 xml:space="preserve"> o ile istnieje </w:t>
            </w:r>
          </w:p>
        </w:tc>
        <w:tc>
          <w:tcPr>
            <w:tcW w:w="1316" w:type="dxa"/>
            <w:vAlign w:val="center"/>
          </w:tcPr>
          <w:p w14:paraId="4255DA98" w14:textId="023117D5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72AFC15F" w14:textId="77777777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B9A56A4" w14:textId="0FC997D6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4AFAB89B" w14:textId="43D29F2B" w:rsidR="00D5792D" w:rsidRPr="006A5311" w:rsidRDefault="00D5792D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715DE97D" w14:textId="77777777" w:rsidTr="00E2448E">
        <w:trPr>
          <w:trHeight w:val="282"/>
          <w:jc w:val="center"/>
        </w:trPr>
        <w:tc>
          <w:tcPr>
            <w:tcW w:w="454" w:type="dxa"/>
          </w:tcPr>
          <w:p w14:paraId="17E741AF" w14:textId="77777777" w:rsidR="00A93FBE" w:rsidRPr="006A5311" w:rsidRDefault="00A93FBE" w:rsidP="00D57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dxa"/>
          </w:tcPr>
          <w:p w14:paraId="1DCF827C" w14:textId="14D59756" w:rsidR="00A93FBE" w:rsidRPr="006A5311" w:rsidRDefault="00A93FBE" w:rsidP="003E415D">
            <w:pPr>
              <w:pStyle w:val="Default"/>
              <w:numPr>
                <w:ilvl w:val="0"/>
                <w:numId w:val="13"/>
              </w:numPr>
              <w:ind w:left="282" w:right="34" w:hanging="282"/>
              <w:rPr>
                <w:color w:val="auto"/>
                <w:sz w:val="16"/>
                <w:szCs w:val="16"/>
              </w:rPr>
            </w:pPr>
            <w:r w:rsidRPr="006A5311">
              <w:rPr>
                <w:color w:val="auto"/>
                <w:sz w:val="16"/>
                <w:szCs w:val="16"/>
              </w:rPr>
              <w:t>zaświadczenie ze spółdzielni mieszkaniowej</w:t>
            </w:r>
          </w:p>
        </w:tc>
        <w:tc>
          <w:tcPr>
            <w:tcW w:w="1316" w:type="dxa"/>
            <w:vAlign w:val="center"/>
          </w:tcPr>
          <w:p w14:paraId="3CCD9375" w14:textId="77777777" w:rsidR="00A93FBE" w:rsidRPr="006A5311" w:rsidRDefault="00A93FBE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359EC320" w14:textId="77777777" w:rsidR="00A93FBE" w:rsidRPr="006A5311" w:rsidRDefault="00A93FBE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6B07160" w14:textId="360CEBEE" w:rsidR="00A93FBE" w:rsidRPr="006A5311" w:rsidRDefault="00A93FBE" w:rsidP="00A93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59FA460B" w14:textId="77777777" w:rsidR="00A93FBE" w:rsidRPr="006A5311" w:rsidRDefault="00A93FBE" w:rsidP="00D57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372" w:rsidRPr="006A5311" w14:paraId="13A015A1" w14:textId="77777777" w:rsidTr="00E2448E">
        <w:trPr>
          <w:trHeight w:val="711"/>
          <w:jc w:val="center"/>
        </w:trPr>
        <w:tc>
          <w:tcPr>
            <w:tcW w:w="454" w:type="dxa"/>
          </w:tcPr>
          <w:p w14:paraId="09184C9A" w14:textId="1408AED9" w:rsidR="00A93FBE" w:rsidRPr="006A5311" w:rsidRDefault="00A93FBE" w:rsidP="00A93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3E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</w:tcPr>
          <w:p w14:paraId="043F6885" w14:textId="4DB5856D" w:rsidR="00A93FBE" w:rsidRPr="006A5311" w:rsidRDefault="00A93FBE" w:rsidP="00A93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Oświadczenie Inwestora  Zastępczego</w:t>
            </w:r>
            <w:r w:rsidR="00E2448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 xml:space="preserve"> Prospekt informacyjny</w:t>
            </w:r>
            <w:r w:rsidR="00E2448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 xml:space="preserve"> Wzór umowy deweloperskiej - w przypadku nieruchomości nabywanych z rynku pierwotnego</w:t>
            </w:r>
          </w:p>
        </w:tc>
        <w:tc>
          <w:tcPr>
            <w:tcW w:w="1316" w:type="dxa"/>
            <w:vAlign w:val="center"/>
          </w:tcPr>
          <w:p w14:paraId="0F996F1E" w14:textId="77777777" w:rsidR="00A93FBE" w:rsidRPr="006A5311" w:rsidRDefault="00A93FBE" w:rsidP="00A93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0C48793D" w14:textId="77777777" w:rsidR="00A93FBE" w:rsidRPr="006A5311" w:rsidRDefault="00A93FBE" w:rsidP="00A93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35FDA7F" w14:textId="77777777" w:rsidR="00A93FBE" w:rsidRPr="006A5311" w:rsidRDefault="00A93FBE" w:rsidP="00A93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1F4E22F7" w14:textId="7611FECE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0EF13E1E" w14:textId="77777777" w:rsidTr="006D3372">
        <w:trPr>
          <w:trHeight w:val="941"/>
          <w:jc w:val="center"/>
        </w:trPr>
        <w:tc>
          <w:tcPr>
            <w:tcW w:w="454" w:type="dxa"/>
          </w:tcPr>
          <w:p w14:paraId="016FFF88" w14:textId="25FCFFCC" w:rsidR="00A93FBE" w:rsidRPr="006A5311" w:rsidRDefault="00A93FBE" w:rsidP="00A93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3E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</w:tcPr>
          <w:p w14:paraId="40AAA633" w14:textId="0281935B" w:rsidR="00A93FBE" w:rsidRPr="006A5311" w:rsidRDefault="00A93FBE" w:rsidP="00A93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Oświadczenie rzeczoznawcy majątkowego, że nie jest związany zawodowo ani prywatnie z właścicielem nieruchomości/zleceniodawcą wyceny (może być informacją zamieszczono w operacie szacunkowym)</w:t>
            </w:r>
          </w:p>
        </w:tc>
        <w:tc>
          <w:tcPr>
            <w:tcW w:w="1316" w:type="dxa"/>
            <w:vAlign w:val="center"/>
          </w:tcPr>
          <w:p w14:paraId="6DB6C94B" w14:textId="5F717A0F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8553497" w14:textId="1F6483B8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17CF3F87" w14:textId="6E1DDD64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04C4DA24" w14:textId="0AC34456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D3372" w:rsidRPr="006A5311" w14:paraId="094F7157" w14:textId="77777777" w:rsidTr="00E2448E">
        <w:trPr>
          <w:trHeight w:val="512"/>
          <w:jc w:val="center"/>
        </w:trPr>
        <w:tc>
          <w:tcPr>
            <w:tcW w:w="454" w:type="dxa"/>
          </w:tcPr>
          <w:p w14:paraId="6292FBD1" w14:textId="43FAA8EA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3E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27" w:type="dxa"/>
          </w:tcPr>
          <w:p w14:paraId="3BD3754A" w14:textId="5A4FC875" w:rsidR="00A93FBE" w:rsidRPr="006A5311" w:rsidRDefault="00A93FBE" w:rsidP="00A93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Aktualna  polisa ubezpieczenia OC Rzeczoznawcy Majątkowego</w:t>
            </w:r>
          </w:p>
        </w:tc>
        <w:tc>
          <w:tcPr>
            <w:tcW w:w="1316" w:type="dxa"/>
            <w:vAlign w:val="center"/>
          </w:tcPr>
          <w:p w14:paraId="3A477518" w14:textId="5FB27373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6263F20F" w14:textId="5C03DBCA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center"/>
          </w:tcPr>
          <w:p w14:paraId="2F4A0935" w14:textId="1B13CC7F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46501556" w14:textId="6198DE21" w:rsidR="00A93FBE" w:rsidRPr="006A5311" w:rsidRDefault="00A93FBE" w:rsidP="00A93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1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14:paraId="1FE5112C" w14:textId="081E0331" w:rsidR="00136145" w:rsidRPr="005F1B8B" w:rsidRDefault="00F3499A" w:rsidP="006D3372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</w:t>
      </w:r>
      <w:r w:rsidRPr="005F1B8B">
        <w:rPr>
          <w:rFonts w:ascii="Times New Roman" w:hAnsi="Times New Roman" w:cs="Times New Roman"/>
          <w:b/>
          <w:sz w:val="14"/>
          <w:szCs w:val="14"/>
        </w:rPr>
        <w:t>*</w:t>
      </w:r>
      <w:r w:rsidRPr="005F1B8B">
        <w:rPr>
          <w:b/>
          <w:sz w:val="14"/>
          <w:szCs w:val="14"/>
        </w:rPr>
        <w:t xml:space="preserve"> o ile  nie zostały złożone wraz z wnioskiem kredytowym</w:t>
      </w:r>
    </w:p>
    <w:p w14:paraId="0CB248B7" w14:textId="77777777" w:rsidR="005E41A9" w:rsidRDefault="005E41A9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</w:pPr>
    </w:p>
    <w:p w14:paraId="181EDA4E" w14:textId="77777777" w:rsidR="005E41A9" w:rsidRDefault="005E41A9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</w:pPr>
    </w:p>
    <w:p w14:paraId="701E7023" w14:textId="77777777" w:rsidR="005E41A9" w:rsidRDefault="005E41A9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</w:pPr>
    </w:p>
    <w:p w14:paraId="3278AEB6" w14:textId="77777777" w:rsidR="005E41A9" w:rsidRDefault="005E41A9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</w:pPr>
    </w:p>
    <w:p w14:paraId="3521E5D2" w14:textId="77777777" w:rsidR="00ED5B21" w:rsidRDefault="00ED5B21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</w:pPr>
    </w:p>
    <w:p w14:paraId="76DD9D76" w14:textId="77777777" w:rsidR="005E41A9" w:rsidRDefault="005E41A9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</w:pPr>
    </w:p>
    <w:p w14:paraId="13C8625D" w14:textId="77777777" w:rsidR="005E41A9" w:rsidRPr="000A329E" w:rsidRDefault="005E41A9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</w:pPr>
    </w:p>
    <w:p w14:paraId="2E9C3A9F" w14:textId="77777777" w:rsidR="005E41A9" w:rsidRPr="000A329E" w:rsidRDefault="005E41A9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jc w:val="center"/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</w:pPr>
      <w:r w:rsidRPr="000A329E"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  <w:tab/>
      </w:r>
      <w:r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  <w:tab/>
        <w:t xml:space="preserve">                                                              </w:t>
      </w:r>
      <w:r w:rsidRPr="000A329E"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  <w:t>………………………………………………………………………………………………</w:t>
      </w:r>
    </w:p>
    <w:p w14:paraId="3A81AAB2" w14:textId="77777777" w:rsidR="005E41A9" w:rsidRPr="00F96F99" w:rsidRDefault="005E41A9" w:rsidP="005E41A9">
      <w:pPr>
        <w:pStyle w:val="Styl"/>
        <w:shd w:val="clear" w:color="auto" w:fill="FEFFFF"/>
        <w:tabs>
          <w:tab w:val="left" w:pos="1656"/>
          <w:tab w:val="right" w:pos="7502"/>
          <w:tab w:val="right" w:pos="8232"/>
          <w:tab w:val="right" w:pos="8832"/>
          <w:tab w:val="center" w:pos="9221"/>
          <w:tab w:val="right" w:pos="10253"/>
        </w:tabs>
        <w:spacing w:line="276" w:lineRule="auto"/>
        <w:ind w:right="168"/>
        <w:jc w:val="center"/>
        <w:rPr>
          <w:rFonts w:asciiTheme="minorHAnsi" w:hAnsiTheme="minorHAnsi"/>
          <w:i/>
          <w:color w:val="00000A"/>
          <w:sz w:val="14"/>
          <w:szCs w:val="14"/>
          <w:shd w:val="clear" w:color="auto" w:fill="FEFFFF"/>
          <w:lang w:bidi="he-IL"/>
        </w:rPr>
      </w:pPr>
      <w:r w:rsidRPr="000A329E">
        <w:rPr>
          <w:rFonts w:asciiTheme="minorHAnsi" w:hAnsiTheme="minorHAnsi"/>
          <w:color w:val="00000A"/>
          <w:sz w:val="20"/>
          <w:szCs w:val="20"/>
          <w:shd w:val="clear" w:color="auto" w:fill="FEFFFF"/>
          <w:lang w:bidi="he-IL"/>
        </w:rPr>
        <w:tab/>
      </w:r>
      <w:r w:rsidRPr="000A329E">
        <w:rPr>
          <w:rFonts w:asciiTheme="minorHAnsi" w:hAnsiTheme="minorHAnsi"/>
          <w:i/>
          <w:color w:val="00000A"/>
          <w:sz w:val="16"/>
          <w:szCs w:val="16"/>
          <w:shd w:val="clear" w:color="auto" w:fill="FEFFFF"/>
          <w:lang w:bidi="he-IL"/>
        </w:rPr>
        <w:tab/>
      </w:r>
      <w:r>
        <w:rPr>
          <w:rFonts w:asciiTheme="minorHAnsi" w:hAnsiTheme="minorHAnsi"/>
          <w:i/>
          <w:color w:val="00000A"/>
          <w:sz w:val="16"/>
          <w:szCs w:val="16"/>
          <w:shd w:val="clear" w:color="auto" w:fill="FEFFFF"/>
          <w:lang w:bidi="he-IL"/>
        </w:rPr>
        <w:t xml:space="preserve">                                                </w:t>
      </w:r>
      <w:r w:rsidRPr="00F96F99">
        <w:rPr>
          <w:rFonts w:asciiTheme="minorHAnsi" w:hAnsiTheme="minorHAnsi"/>
          <w:i/>
          <w:color w:val="00000A"/>
          <w:sz w:val="14"/>
          <w:szCs w:val="14"/>
          <w:shd w:val="clear" w:color="auto" w:fill="FEFFFF"/>
          <w:lang w:bidi="he-IL"/>
        </w:rPr>
        <w:t>(Podpis i pieczęć Rzeczoznawcy Majątkowego wykonującego zlecenie)</w:t>
      </w:r>
    </w:p>
    <w:p w14:paraId="54A9AF2E" w14:textId="77777777" w:rsidR="005E41A9" w:rsidRPr="006D3372" w:rsidRDefault="005E41A9" w:rsidP="006D33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E41A9" w:rsidRPr="006D3372" w:rsidSect="00321A3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6051" w14:textId="77777777" w:rsidR="00C44723" w:rsidRDefault="00C44723" w:rsidP="006B7208">
      <w:pPr>
        <w:spacing w:after="0" w:line="240" w:lineRule="auto"/>
      </w:pPr>
      <w:r>
        <w:separator/>
      </w:r>
    </w:p>
  </w:endnote>
  <w:endnote w:type="continuationSeparator" w:id="0">
    <w:p w14:paraId="70E46646" w14:textId="77777777" w:rsidR="00C44723" w:rsidRDefault="00C44723" w:rsidP="006B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8813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A946B5" w14:textId="1AD30BEB" w:rsidR="00CF45AC" w:rsidRDefault="00CF45AC" w:rsidP="000811C3">
            <w:pPr>
              <w:pStyle w:val="Stopka"/>
              <w:jc w:val="center"/>
            </w:pPr>
            <w:r w:rsidRPr="00482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8220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82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82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0A663E" w14:textId="77777777" w:rsidR="00CF45AC" w:rsidRDefault="00CF4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B718" w14:textId="77777777" w:rsidR="00C44723" w:rsidRDefault="00C44723" w:rsidP="006B7208">
      <w:pPr>
        <w:spacing w:after="0" w:line="240" w:lineRule="auto"/>
      </w:pPr>
      <w:r>
        <w:separator/>
      </w:r>
    </w:p>
  </w:footnote>
  <w:footnote w:type="continuationSeparator" w:id="0">
    <w:p w14:paraId="52F6D2EE" w14:textId="77777777" w:rsidR="00C44723" w:rsidRDefault="00C44723" w:rsidP="006B7208">
      <w:pPr>
        <w:spacing w:after="0" w:line="240" w:lineRule="auto"/>
      </w:pPr>
      <w:r>
        <w:continuationSeparator/>
      </w:r>
    </w:p>
  </w:footnote>
  <w:footnote w:id="1">
    <w:p w14:paraId="51CC5270" w14:textId="12AC9305" w:rsidR="00CF45AC" w:rsidRPr="00CE432D" w:rsidRDefault="00CF45AC" w:rsidP="00F1433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E432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E432D">
        <w:rPr>
          <w:rFonts w:ascii="Times New Roman" w:hAnsi="Times New Roman" w:cs="Times New Roman"/>
          <w:sz w:val="16"/>
          <w:szCs w:val="16"/>
        </w:rPr>
        <w:t xml:space="preserve"> </w:t>
      </w:r>
      <w:r w:rsidR="00CE432D" w:rsidRPr="00CE432D">
        <w:rPr>
          <w:rFonts w:ascii="Times New Roman" w:hAnsi="Times New Roman" w:cs="Times New Roman"/>
          <w:sz w:val="16"/>
          <w:szCs w:val="16"/>
        </w:rPr>
        <w:t xml:space="preserve">Rozporządzenie - </w:t>
      </w:r>
      <w:r w:rsidRPr="00CE432D">
        <w:rPr>
          <w:rFonts w:ascii="Times New Roman" w:hAnsi="Times New Roman" w:cs="Times New Roman"/>
          <w:sz w:val="16"/>
          <w:szCs w:val="16"/>
        </w:rPr>
        <w:t>Rozporządzeni</w:t>
      </w:r>
      <w:r w:rsidR="00CE432D">
        <w:rPr>
          <w:rFonts w:ascii="Times New Roman" w:hAnsi="Times New Roman" w:cs="Times New Roman"/>
          <w:sz w:val="16"/>
          <w:szCs w:val="16"/>
        </w:rPr>
        <w:t>e</w:t>
      </w:r>
      <w:r w:rsidRPr="00CE432D">
        <w:rPr>
          <w:rFonts w:ascii="Times New Roman" w:hAnsi="Times New Roman" w:cs="Times New Roman"/>
          <w:sz w:val="16"/>
          <w:szCs w:val="16"/>
        </w:rPr>
        <w:t xml:space="preserve"> Ministra Rozwoju i Technologii z dnia 05 września 2023 r. w sprawie wyceny nieruchomości.</w:t>
      </w:r>
    </w:p>
  </w:footnote>
  <w:footnote w:id="2">
    <w:p w14:paraId="0CDCA26D" w14:textId="471E7615" w:rsidR="00CF45AC" w:rsidRPr="00AE4A1B" w:rsidRDefault="00CF45AC" w:rsidP="0078493B">
      <w:pPr>
        <w:pStyle w:val="Tekstprzypisudolnego"/>
        <w:rPr>
          <w:rFonts w:ascii="Times New Roman" w:hAnsi="Times New Roman" w:cs="Times New Roman"/>
          <w:strike/>
          <w:sz w:val="16"/>
          <w:szCs w:val="16"/>
        </w:rPr>
      </w:pPr>
    </w:p>
  </w:footnote>
  <w:footnote w:id="3">
    <w:p w14:paraId="1794EFAE" w14:textId="1C459187" w:rsidR="00E32D5D" w:rsidRPr="00E32D5D" w:rsidRDefault="00E32D5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32D5D">
        <w:rPr>
          <w:rStyle w:val="Odwoanieprzypisudolnego"/>
          <w:sz w:val="18"/>
          <w:szCs w:val="18"/>
        </w:rPr>
        <w:footnoteRef/>
      </w:r>
      <w:r w:rsidRPr="00E32D5D">
        <w:rPr>
          <w:sz w:val="18"/>
          <w:szCs w:val="18"/>
        </w:rPr>
        <w:t xml:space="preserve"> </w:t>
      </w:r>
      <w:r w:rsidRPr="00E32D5D">
        <w:rPr>
          <w:rFonts w:ascii="Times New Roman" w:hAnsi="Times New Roman" w:cs="Times New Roman"/>
          <w:sz w:val="16"/>
          <w:szCs w:val="16"/>
        </w:rPr>
        <w:t xml:space="preserve">Fakultatywnie w przypadku gruntów rolnych </w:t>
      </w:r>
    </w:p>
  </w:footnote>
  <w:footnote w:id="4">
    <w:p w14:paraId="59A3665B" w14:textId="7C0F9A45" w:rsidR="00D5792D" w:rsidRPr="006A42A1" w:rsidRDefault="00D5792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6A42A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A42A1">
        <w:rPr>
          <w:rFonts w:ascii="Times New Roman" w:hAnsi="Times New Roman" w:cs="Times New Roman"/>
          <w:sz w:val="16"/>
          <w:szCs w:val="16"/>
        </w:rPr>
        <w:t xml:space="preserve"> Tylko w przypadku remontu wcześniej funkcjonującej stacji paliw.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6F25" w14:textId="22F6F1AA" w:rsidR="00CF45AC" w:rsidRDefault="006D3372" w:rsidP="006D3372">
    <w:pPr>
      <w:tabs>
        <w:tab w:val="left" w:pos="1305"/>
      </w:tabs>
      <w:spacing w:after="0" w:line="240" w:lineRule="auto"/>
      <w:rPr>
        <w:rFonts w:ascii="Times New Roman" w:eastAsia="Times New Roman" w:hAnsi="Times New Roman" w:cs="Times New Roman"/>
        <w:b/>
        <w:sz w:val="16"/>
        <w:szCs w:val="16"/>
        <w:lang w:eastAsia="pl-PL"/>
      </w:rPr>
    </w:pPr>
    <w:r>
      <w:rPr>
        <w:rFonts w:ascii="Times New Roman" w:eastAsia="Times New Roman" w:hAnsi="Times New Roman" w:cs="Times New Roman"/>
        <w:b/>
        <w:sz w:val="16"/>
        <w:szCs w:val="16"/>
        <w:lang w:eastAsia="pl-PL"/>
      </w:rPr>
      <w:tab/>
    </w: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6A1DD99" wp14:editId="3ABF246D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1628775" cy="295275"/>
          <wp:effectExtent l="0" t="0" r="9525" b="9525"/>
          <wp:wrapTight wrapText="bothSides">
            <wp:wrapPolygon edited="0">
              <wp:start x="0" y="0"/>
              <wp:lineTo x="0" y="20903"/>
              <wp:lineTo x="21474" y="20903"/>
              <wp:lineTo x="21474" y="0"/>
              <wp:lineTo x="0" y="0"/>
            </wp:wrapPolygon>
          </wp:wrapTight>
          <wp:docPr id="824226440" name="Obraz 824226440" descr="hexabank_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hexabank_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3" t="17160" r="6119" b="10623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EF8E5" w14:textId="1914B99B" w:rsidR="00CF45AC" w:rsidRPr="007678D1" w:rsidRDefault="00CF45AC" w:rsidP="000F1144">
    <w:pPr>
      <w:spacing w:after="0" w:line="240" w:lineRule="auto"/>
      <w:jc w:val="right"/>
      <w:rPr>
        <w:rFonts w:ascii="Times New Roman" w:eastAsia="Times New Roman" w:hAnsi="Times New Roman" w:cs="Times New Roman"/>
        <w:bCs/>
        <w:sz w:val="16"/>
        <w:szCs w:val="16"/>
        <w:lang w:eastAsia="pl-PL"/>
      </w:rPr>
    </w:pPr>
    <w:r w:rsidRPr="006D3372">
      <w:rPr>
        <w:rFonts w:ascii="Times New Roman" w:eastAsia="Times New Roman" w:hAnsi="Times New Roman" w:cs="Times New Roman"/>
        <w:bCs/>
        <w:sz w:val="16"/>
        <w:szCs w:val="16"/>
        <w:lang w:eastAsia="pl-PL"/>
      </w:rPr>
      <w:t xml:space="preserve">Załącznik nr </w:t>
    </w:r>
    <w:r w:rsidR="006D3372" w:rsidRPr="006D3372">
      <w:rPr>
        <w:rFonts w:ascii="Times New Roman" w:eastAsia="Times New Roman" w:hAnsi="Times New Roman" w:cs="Times New Roman"/>
        <w:bCs/>
        <w:sz w:val="16"/>
        <w:szCs w:val="16"/>
        <w:lang w:eastAsia="pl-PL"/>
      </w:rPr>
      <w:t>1</w:t>
    </w:r>
    <w:r w:rsidRPr="006D3372">
      <w:rPr>
        <w:rFonts w:ascii="Times New Roman" w:eastAsia="Times New Roman" w:hAnsi="Times New Roman" w:cs="Times New Roman"/>
        <w:bCs/>
        <w:sz w:val="16"/>
        <w:szCs w:val="16"/>
        <w:lang w:eastAsia="pl-PL"/>
      </w:rPr>
      <w:t xml:space="preserve"> </w:t>
    </w:r>
    <w:r w:rsidR="007D5003">
      <w:rPr>
        <w:rFonts w:ascii="Times New Roman" w:eastAsia="Times New Roman" w:hAnsi="Times New Roman" w:cs="Times New Roman"/>
        <w:bCs/>
        <w:sz w:val="16"/>
        <w:szCs w:val="16"/>
        <w:lang w:eastAsia="pl-PL"/>
      </w:rPr>
      <w:t xml:space="preserve">z </w:t>
    </w:r>
    <w:r w:rsidR="007D5003" w:rsidRPr="007678D1">
      <w:rPr>
        <w:rFonts w:ascii="Times New Roman" w:eastAsia="Times New Roman" w:hAnsi="Times New Roman" w:cs="Times New Roman"/>
        <w:bCs/>
        <w:sz w:val="16"/>
        <w:szCs w:val="16"/>
        <w:lang w:eastAsia="pl-PL"/>
      </w:rPr>
      <w:t xml:space="preserve">dnia </w:t>
    </w:r>
    <w:r w:rsidR="00E32D5D" w:rsidRPr="007678D1">
      <w:rPr>
        <w:rFonts w:ascii="Times New Roman" w:eastAsia="Times New Roman" w:hAnsi="Times New Roman" w:cs="Times New Roman"/>
        <w:bCs/>
        <w:sz w:val="16"/>
        <w:szCs w:val="16"/>
        <w:lang w:eastAsia="pl-PL"/>
      </w:rPr>
      <w:t>31.03.2025</w:t>
    </w:r>
  </w:p>
  <w:p w14:paraId="06C4E5F4" w14:textId="0A92F440" w:rsidR="00CF45AC" w:rsidRDefault="006D3372" w:rsidP="00321A37">
    <w:pPr>
      <w:spacing w:after="0" w:line="240" w:lineRule="auto"/>
      <w:jc w:val="right"/>
      <w:rPr>
        <w:rFonts w:cstheme="minorHAnsi"/>
        <w:bCs/>
        <w:sz w:val="16"/>
        <w:szCs w:val="16"/>
      </w:rPr>
    </w:pPr>
    <w:bookmarkStart w:id="3" w:name="_Hlk154732457"/>
    <w:bookmarkStart w:id="4" w:name="_Hlk154732458"/>
    <w:bookmarkStart w:id="5" w:name="_Hlk154732506"/>
    <w:bookmarkStart w:id="6" w:name="_Hlk154732507"/>
    <w:bookmarkStart w:id="7" w:name="_Hlk154732837"/>
    <w:bookmarkStart w:id="8" w:name="_Hlk154732838"/>
    <w:r w:rsidRPr="00BE617B">
      <w:rPr>
        <w:rFonts w:eastAsia="Times New Roman" w:cstheme="minorHAnsi"/>
        <w:bCs/>
        <w:sz w:val="16"/>
        <w:szCs w:val="16"/>
        <w:lang w:eastAsia="pl-PL"/>
      </w:rPr>
      <w:t>do</w:t>
    </w:r>
    <w:r w:rsidR="00CF45AC" w:rsidRPr="00BE617B">
      <w:rPr>
        <w:rFonts w:eastAsia="Times New Roman" w:cstheme="minorHAnsi"/>
        <w:bCs/>
        <w:sz w:val="16"/>
        <w:szCs w:val="16"/>
        <w:lang w:eastAsia="pl-PL"/>
      </w:rPr>
      <w:t xml:space="preserve"> </w:t>
    </w:r>
    <w:r w:rsidRPr="00BE617B">
      <w:rPr>
        <w:rFonts w:cstheme="minorHAnsi"/>
        <w:bCs/>
        <w:sz w:val="16"/>
        <w:szCs w:val="16"/>
      </w:rPr>
      <w:t>Instrukcji ustanawiania i monitoringu zabezpieczeń hipotecznych</w:t>
    </w:r>
    <w:bookmarkEnd w:id="3"/>
    <w:bookmarkEnd w:id="4"/>
    <w:bookmarkEnd w:id="5"/>
    <w:bookmarkEnd w:id="6"/>
    <w:bookmarkEnd w:id="7"/>
    <w:bookmarkEnd w:id="8"/>
  </w:p>
  <w:p w14:paraId="34A6C468" w14:textId="151A606B" w:rsidR="007D5003" w:rsidRPr="00BE617B" w:rsidRDefault="007D5003" w:rsidP="00321A37">
    <w:pPr>
      <w:spacing w:after="0" w:line="240" w:lineRule="auto"/>
      <w:jc w:val="right"/>
      <w:rPr>
        <w:rFonts w:eastAsia="Times New Roman" w:cstheme="minorHAnsi"/>
        <w:bCs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7B"/>
    <w:multiLevelType w:val="hybridMultilevel"/>
    <w:tmpl w:val="86529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821"/>
    <w:multiLevelType w:val="hybridMultilevel"/>
    <w:tmpl w:val="0FA455C8"/>
    <w:lvl w:ilvl="0" w:tplc="FFFFFFFF">
      <w:start w:val="2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76217E6">
      <w:start w:val="1"/>
      <w:numFmt w:val="decimal"/>
      <w:lvlText w:val="%3."/>
      <w:lvlJc w:val="left"/>
      <w:pPr>
        <w:tabs>
          <w:tab w:val="num" w:pos="2846"/>
        </w:tabs>
        <w:ind w:left="2846" w:hanging="435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41"/>
        </w:tabs>
        <w:ind w:left="2841" w:hanging="397"/>
      </w:pPr>
      <w:rPr>
        <w:rFonts w:hint="default"/>
      </w:rPr>
    </w:lvl>
    <w:lvl w:ilvl="4" w:tplc="FFFFFFFF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CD50FBDC">
      <w:start w:val="1"/>
      <w:numFmt w:val="lowerLetter"/>
      <w:lvlText w:val="%6)"/>
      <w:lvlJc w:val="left"/>
      <w:pPr>
        <w:ind w:left="4244" w:hanging="360"/>
      </w:pPr>
      <w:rPr>
        <w:rFonts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307765"/>
    <w:multiLevelType w:val="hybridMultilevel"/>
    <w:tmpl w:val="7E62F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04FAB"/>
    <w:multiLevelType w:val="hybridMultilevel"/>
    <w:tmpl w:val="CACC6AF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7D52"/>
    <w:multiLevelType w:val="hybridMultilevel"/>
    <w:tmpl w:val="080E6A8C"/>
    <w:lvl w:ilvl="0" w:tplc="1B2E0C5A">
      <w:start w:val="1"/>
      <w:numFmt w:val="decimal"/>
      <w:lvlText w:val="%1."/>
      <w:lvlJc w:val="left"/>
      <w:pPr>
        <w:tabs>
          <w:tab w:val="num" w:pos="2846"/>
        </w:tabs>
        <w:ind w:left="2846" w:hanging="435"/>
      </w:pPr>
      <w:rPr>
        <w:rFonts w:ascii="Times New Roman" w:hAnsi="Times New Roman" w:cs="Times New Roman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00239"/>
    <w:multiLevelType w:val="hybridMultilevel"/>
    <w:tmpl w:val="D360B6CC"/>
    <w:lvl w:ilvl="0" w:tplc="32E02DF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3A620B0E"/>
    <w:multiLevelType w:val="hybridMultilevel"/>
    <w:tmpl w:val="F1562C12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32B9D"/>
    <w:multiLevelType w:val="hybridMultilevel"/>
    <w:tmpl w:val="AB5C69C8"/>
    <w:lvl w:ilvl="0" w:tplc="F76217E6">
      <w:start w:val="1"/>
      <w:numFmt w:val="decimal"/>
      <w:lvlText w:val="%1."/>
      <w:lvlJc w:val="left"/>
      <w:pPr>
        <w:tabs>
          <w:tab w:val="num" w:pos="2846"/>
        </w:tabs>
        <w:ind w:left="284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220E7"/>
    <w:multiLevelType w:val="hybridMultilevel"/>
    <w:tmpl w:val="CBCCD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D222C"/>
    <w:multiLevelType w:val="hybridMultilevel"/>
    <w:tmpl w:val="77D0C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36BEF"/>
    <w:multiLevelType w:val="hybridMultilevel"/>
    <w:tmpl w:val="CACC6AF6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D5F6D"/>
    <w:multiLevelType w:val="hybridMultilevel"/>
    <w:tmpl w:val="F7CCF8B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5A530D2"/>
    <w:multiLevelType w:val="hybridMultilevel"/>
    <w:tmpl w:val="F4D680CE"/>
    <w:lvl w:ilvl="0" w:tplc="8B0A6428">
      <w:start w:val="5"/>
      <w:numFmt w:val="decimal"/>
      <w:lvlText w:val="%1."/>
      <w:lvlJc w:val="left"/>
      <w:pPr>
        <w:tabs>
          <w:tab w:val="num" w:pos="2846"/>
        </w:tabs>
        <w:ind w:left="284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95743"/>
    <w:multiLevelType w:val="hybridMultilevel"/>
    <w:tmpl w:val="9BEC1278"/>
    <w:lvl w:ilvl="0" w:tplc="04150017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355809922">
    <w:abstractNumId w:val="0"/>
  </w:num>
  <w:num w:numId="2" w16cid:durableId="1668829047">
    <w:abstractNumId w:val="9"/>
  </w:num>
  <w:num w:numId="3" w16cid:durableId="948900524">
    <w:abstractNumId w:val="2"/>
  </w:num>
  <w:num w:numId="4" w16cid:durableId="388263746">
    <w:abstractNumId w:val="8"/>
  </w:num>
  <w:num w:numId="5" w16cid:durableId="2064912854">
    <w:abstractNumId w:val="1"/>
  </w:num>
  <w:num w:numId="6" w16cid:durableId="1922987924">
    <w:abstractNumId w:val="5"/>
  </w:num>
  <w:num w:numId="7" w16cid:durableId="1106778815">
    <w:abstractNumId w:val="3"/>
  </w:num>
  <w:num w:numId="8" w16cid:durableId="2096591425">
    <w:abstractNumId w:val="4"/>
  </w:num>
  <w:num w:numId="9" w16cid:durableId="1703286673">
    <w:abstractNumId w:val="11"/>
  </w:num>
  <w:num w:numId="10" w16cid:durableId="2075203887">
    <w:abstractNumId w:val="12"/>
  </w:num>
  <w:num w:numId="11" w16cid:durableId="1811244314">
    <w:abstractNumId w:val="10"/>
  </w:num>
  <w:num w:numId="12" w16cid:durableId="523591120">
    <w:abstractNumId w:val="7"/>
  </w:num>
  <w:num w:numId="13" w16cid:durableId="1368603487">
    <w:abstractNumId w:val="6"/>
  </w:num>
  <w:num w:numId="14" w16cid:durableId="186628905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F"/>
    <w:rsid w:val="000004BA"/>
    <w:rsid w:val="0000196B"/>
    <w:rsid w:val="0000257D"/>
    <w:rsid w:val="0000655E"/>
    <w:rsid w:val="0002159E"/>
    <w:rsid w:val="000256A4"/>
    <w:rsid w:val="00031845"/>
    <w:rsid w:val="00041B57"/>
    <w:rsid w:val="00044D5B"/>
    <w:rsid w:val="00052242"/>
    <w:rsid w:val="00054B29"/>
    <w:rsid w:val="00055FED"/>
    <w:rsid w:val="00060A01"/>
    <w:rsid w:val="0006112B"/>
    <w:rsid w:val="000616B3"/>
    <w:rsid w:val="000650B3"/>
    <w:rsid w:val="00067BC1"/>
    <w:rsid w:val="000706CD"/>
    <w:rsid w:val="00070B52"/>
    <w:rsid w:val="000811C3"/>
    <w:rsid w:val="00081264"/>
    <w:rsid w:val="00081B9D"/>
    <w:rsid w:val="000826FF"/>
    <w:rsid w:val="00083BE8"/>
    <w:rsid w:val="00086772"/>
    <w:rsid w:val="00092D83"/>
    <w:rsid w:val="00093486"/>
    <w:rsid w:val="00094183"/>
    <w:rsid w:val="00097EF8"/>
    <w:rsid w:val="000A076C"/>
    <w:rsid w:val="000A2483"/>
    <w:rsid w:val="000A4ACF"/>
    <w:rsid w:val="000A674B"/>
    <w:rsid w:val="000A70EE"/>
    <w:rsid w:val="000A767F"/>
    <w:rsid w:val="000A7681"/>
    <w:rsid w:val="000B5202"/>
    <w:rsid w:val="000B74B2"/>
    <w:rsid w:val="000C0BB0"/>
    <w:rsid w:val="000C0CBA"/>
    <w:rsid w:val="000C14A0"/>
    <w:rsid w:val="000C2213"/>
    <w:rsid w:val="000C5286"/>
    <w:rsid w:val="000D3323"/>
    <w:rsid w:val="000D3CC9"/>
    <w:rsid w:val="000E1D88"/>
    <w:rsid w:val="000E4AC5"/>
    <w:rsid w:val="000E66F8"/>
    <w:rsid w:val="000E7044"/>
    <w:rsid w:val="000F1144"/>
    <w:rsid w:val="000F44D6"/>
    <w:rsid w:val="000F4665"/>
    <w:rsid w:val="000F56A4"/>
    <w:rsid w:val="0010380C"/>
    <w:rsid w:val="00103A4E"/>
    <w:rsid w:val="00106855"/>
    <w:rsid w:val="00107B0E"/>
    <w:rsid w:val="0011465B"/>
    <w:rsid w:val="00130631"/>
    <w:rsid w:val="00130848"/>
    <w:rsid w:val="00132B3D"/>
    <w:rsid w:val="00135097"/>
    <w:rsid w:val="0013544F"/>
    <w:rsid w:val="00135FA7"/>
    <w:rsid w:val="00136145"/>
    <w:rsid w:val="00136F17"/>
    <w:rsid w:val="00137BC7"/>
    <w:rsid w:val="00141FCC"/>
    <w:rsid w:val="00151D29"/>
    <w:rsid w:val="00152320"/>
    <w:rsid w:val="0016040A"/>
    <w:rsid w:val="00163CBF"/>
    <w:rsid w:val="001643E6"/>
    <w:rsid w:val="00165010"/>
    <w:rsid w:val="001653C7"/>
    <w:rsid w:val="00166E31"/>
    <w:rsid w:val="0016770A"/>
    <w:rsid w:val="00171352"/>
    <w:rsid w:val="001727BC"/>
    <w:rsid w:val="00174E95"/>
    <w:rsid w:val="00174ED9"/>
    <w:rsid w:val="001760D2"/>
    <w:rsid w:val="00182E5D"/>
    <w:rsid w:val="0019399A"/>
    <w:rsid w:val="00197904"/>
    <w:rsid w:val="001A28A9"/>
    <w:rsid w:val="001B482E"/>
    <w:rsid w:val="001B6B22"/>
    <w:rsid w:val="001B7454"/>
    <w:rsid w:val="001C2BA3"/>
    <w:rsid w:val="001C6E05"/>
    <w:rsid w:val="001C7FEE"/>
    <w:rsid w:val="001D0E35"/>
    <w:rsid w:val="001D4449"/>
    <w:rsid w:val="001E1537"/>
    <w:rsid w:val="001E22B4"/>
    <w:rsid w:val="001E3B99"/>
    <w:rsid w:val="001E3BBD"/>
    <w:rsid w:val="001F1371"/>
    <w:rsid w:val="001F7D66"/>
    <w:rsid w:val="002011EF"/>
    <w:rsid w:val="0020550B"/>
    <w:rsid w:val="00211FA2"/>
    <w:rsid w:val="00212F1D"/>
    <w:rsid w:val="0021421D"/>
    <w:rsid w:val="002144B4"/>
    <w:rsid w:val="00221CB0"/>
    <w:rsid w:val="002368F9"/>
    <w:rsid w:val="00236C24"/>
    <w:rsid w:val="00242C9B"/>
    <w:rsid w:val="002431A2"/>
    <w:rsid w:val="00243472"/>
    <w:rsid w:val="0024403A"/>
    <w:rsid w:val="00246325"/>
    <w:rsid w:val="002470AB"/>
    <w:rsid w:val="002551FC"/>
    <w:rsid w:val="002765A0"/>
    <w:rsid w:val="00286AFD"/>
    <w:rsid w:val="002901B7"/>
    <w:rsid w:val="00290B34"/>
    <w:rsid w:val="00292E9B"/>
    <w:rsid w:val="002936E4"/>
    <w:rsid w:val="002938D6"/>
    <w:rsid w:val="002A0BC7"/>
    <w:rsid w:val="002A19D6"/>
    <w:rsid w:val="002A1BA2"/>
    <w:rsid w:val="002A5469"/>
    <w:rsid w:val="002B01B3"/>
    <w:rsid w:val="002B08F4"/>
    <w:rsid w:val="002B2CAA"/>
    <w:rsid w:val="002B3C37"/>
    <w:rsid w:val="002B7F9A"/>
    <w:rsid w:val="002C173D"/>
    <w:rsid w:val="002C49D0"/>
    <w:rsid w:val="002C503F"/>
    <w:rsid w:val="002C7A64"/>
    <w:rsid w:val="002D0374"/>
    <w:rsid w:val="002D3756"/>
    <w:rsid w:val="002D3CD4"/>
    <w:rsid w:val="002E491D"/>
    <w:rsid w:val="002E54BA"/>
    <w:rsid w:val="002E6E09"/>
    <w:rsid w:val="002F296A"/>
    <w:rsid w:val="00304E67"/>
    <w:rsid w:val="0030503A"/>
    <w:rsid w:val="003054BC"/>
    <w:rsid w:val="00305F08"/>
    <w:rsid w:val="0030656A"/>
    <w:rsid w:val="003068BF"/>
    <w:rsid w:val="00312334"/>
    <w:rsid w:val="00313AF9"/>
    <w:rsid w:val="00313BF6"/>
    <w:rsid w:val="00313C4F"/>
    <w:rsid w:val="00314814"/>
    <w:rsid w:val="00320849"/>
    <w:rsid w:val="00321471"/>
    <w:rsid w:val="00321A37"/>
    <w:rsid w:val="003221A6"/>
    <w:rsid w:val="00323BF5"/>
    <w:rsid w:val="00325126"/>
    <w:rsid w:val="00345971"/>
    <w:rsid w:val="0034776C"/>
    <w:rsid w:val="00351D96"/>
    <w:rsid w:val="00355C10"/>
    <w:rsid w:val="00356E77"/>
    <w:rsid w:val="00357A83"/>
    <w:rsid w:val="00357B3E"/>
    <w:rsid w:val="003609C5"/>
    <w:rsid w:val="003643CC"/>
    <w:rsid w:val="003648B4"/>
    <w:rsid w:val="00366AB4"/>
    <w:rsid w:val="003678A7"/>
    <w:rsid w:val="00381C66"/>
    <w:rsid w:val="00383F81"/>
    <w:rsid w:val="00385172"/>
    <w:rsid w:val="0039182F"/>
    <w:rsid w:val="003935FA"/>
    <w:rsid w:val="003A18EB"/>
    <w:rsid w:val="003A2D08"/>
    <w:rsid w:val="003A653A"/>
    <w:rsid w:val="003B0571"/>
    <w:rsid w:val="003B05E1"/>
    <w:rsid w:val="003B3EEC"/>
    <w:rsid w:val="003B55BB"/>
    <w:rsid w:val="003B6EBA"/>
    <w:rsid w:val="003B7836"/>
    <w:rsid w:val="003D20D1"/>
    <w:rsid w:val="003D3E2C"/>
    <w:rsid w:val="003D6447"/>
    <w:rsid w:val="003D6540"/>
    <w:rsid w:val="003E17AC"/>
    <w:rsid w:val="003E2100"/>
    <w:rsid w:val="003E415D"/>
    <w:rsid w:val="003E4D43"/>
    <w:rsid w:val="003F018C"/>
    <w:rsid w:val="003F4A95"/>
    <w:rsid w:val="004020B0"/>
    <w:rsid w:val="00402B1D"/>
    <w:rsid w:val="00403DFA"/>
    <w:rsid w:val="004044A0"/>
    <w:rsid w:val="00410C95"/>
    <w:rsid w:val="00411E7E"/>
    <w:rsid w:val="00412E72"/>
    <w:rsid w:val="004158DA"/>
    <w:rsid w:val="004159D6"/>
    <w:rsid w:val="004222A2"/>
    <w:rsid w:val="00432987"/>
    <w:rsid w:val="00433178"/>
    <w:rsid w:val="00433611"/>
    <w:rsid w:val="0044329A"/>
    <w:rsid w:val="00443ADE"/>
    <w:rsid w:val="00446742"/>
    <w:rsid w:val="00453949"/>
    <w:rsid w:val="004602C5"/>
    <w:rsid w:val="004609AF"/>
    <w:rsid w:val="00462263"/>
    <w:rsid w:val="00462AFD"/>
    <w:rsid w:val="00472D83"/>
    <w:rsid w:val="00474C56"/>
    <w:rsid w:val="00481D60"/>
    <w:rsid w:val="00482205"/>
    <w:rsid w:val="004859D5"/>
    <w:rsid w:val="00490B9C"/>
    <w:rsid w:val="0049542E"/>
    <w:rsid w:val="004A059F"/>
    <w:rsid w:val="004A2BD6"/>
    <w:rsid w:val="004A5CF2"/>
    <w:rsid w:val="004A6C9C"/>
    <w:rsid w:val="004A7EE7"/>
    <w:rsid w:val="004B095C"/>
    <w:rsid w:val="004B1F86"/>
    <w:rsid w:val="004B4113"/>
    <w:rsid w:val="004B6C79"/>
    <w:rsid w:val="004B75C2"/>
    <w:rsid w:val="004C10EA"/>
    <w:rsid w:val="004C54FC"/>
    <w:rsid w:val="004C6529"/>
    <w:rsid w:val="004E0100"/>
    <w:rsid w:val="004E1936"/>
    <w:rsid w:val="004E67F1"/>
    <w:rsid w:val="004E7CD1"/>
    <w:rsid w:val="004F08E5"/>
    <w:rsid w:val="004F7696"/>
    <w:rsid w:val="004F7884"/>
    <w:rsid w:val="00501289"/>
    <w:rsid w:val="00506A27"/>
    <w:rsid w:val="00517C24"/>
    <w:rsid w:val="005228B4"/>
    <w:rsid w:val="005230B8"/>
    <w:rsid w:val="00526406"/>
    <w:rsid w:val="0053429F"/>
    <w:rsid w:val="00534B47"/>
    <w:rsid w:val="0053664F"/>
    <w:rsid w:val="00536912"/>
    <w:rsid w:val="00543FFA"/>
    <w:rsid w:val="005448BA"/>
    <w:rsid w:val="005542EC"/>
    <w:rsid w:val="005623AB"/>
    <w:rsid w:val="00563B9F"/>
    <w:rsid w:val="00563D30"/>
    <w:rsid w:val="00565832"/>
    <w:rsid w:val="00566BF3"/>
    <w:rsid w:val="00570438"/>
    <w:rsid w:val="0057205A"/>
    <w:rsid w:val="00575FB6"/>
    <w:rsid w:val="00577BDD"/>
    <w:rsid w:val="00581F12"/>
    <w:rsid w:val="00582C81"/>
    <w:rsid w:val="005856F0"/>
    <w:rsid w:val="005871F7"/>
    <w:rsid w:val="005873B1"/>
    <w:rsid w:val="005901DB"/>
    <w:rsid w:val="00594204"/>
    <w:rsid w:val="00596661"/>
    <w:rsid w:val="005A05CB"/>
    <w:rsid w:val="005A1044"/>
    <w:rsid w:val="005A24E1"/>
    <w:rsid w:val="005A43DF"/>
    <w:rsid w:val="005A4AC7"/>
    <w:rsid w:val="005B1873"/>
    <w:rsid w:val="005B553E"/>
    <w:rsid w:val="005B634A"/>
    <w:rsid w:val="005C0174"/>
    <w:rsid w:val="005C39C2"/>
    <w:rsid w:val="005C4FB6"/>
    <w:rsid w:val="005C6060"/>
    <w:rsid w:val="005D0270"/>
    <w:rsid w:val="005D086F"/>
    <w:rsid w:val="005D17CA"/>
    <w:rsid w:val="005D329F"/>
    <w:rsid w:val="005D5EE0"/>
    <w:rsid w:val="005D6891"/>
    <w:rsid w:val="005E32A8"/>
    <w:rsid w:val="005E41A9"/>
    <w:rsid w:val="005F0DD5"/>
    <w:rsid w:val="005F1B8B"/>
    <w:rsid w:val="005F21C5"/>
    <w:rsid w:val="005F3F68"/>
    <w:rsid w:val="005F6579"/>
    <w:rsid w:val="005F6FB1"/>
    <w:rsid w:val="00601130"/>
    <w:rsid w:val="006038F7"/>
    <w:rsid w:val="00605DC3"/>
    <w:rsid w:val="00606258"/>
    <w:rsid w:val="006067EB"/>
    <w:rsid w:val="006078BF"/>
    <w:rsid w:val="006120B8"/>
    <w:rsid w:val="00612B5B"/>
    <w:rsid w:val="00620FC3"/>
    <w:rsid w:val="00621214"/>
    <w:rsid w:val="00621BF7"/>
    <w:rsid w:val="00626D1A"/>
    <w:rsid w:val="0063756A"/>
    <w:rsid w:val="00641352"/>
    <w:rsid w:val="00641E50"/>
    <w:rsid w:val="006420F0"/>
    <w:rsid w:val="00642D93"/>
    <w:rsid w:val="006561DA"/>
    <w:rsid w:val="00657FAC"/>
    <w:rsid w:val="00663CED"/>
    <w:rsid w:val="00664592"/>
    <w:rsid w:val="00676701"/>
    <w:rsid w:val="00677DEE"/>
    <w:rsid w:val="006804E2"/>
    <w:rsid w:val="006815DF"/>
    <w:rsid w:val="00693131"/>
    <w:rsid w:val="0069428E"/>
    <w:rsid w:val="006952EF"/>
    <w:rsid w:val="006957B1"/>
    <w:rsid w:val="006A2AD3"/>
    <w:rsid w:val="006A42A1"/>
    <w:rsid w:val="006A42D1"/>
    <w:rsid w:val="006A5311"/>
    <w:rsid w:val="006A7390"/>
    <w:rsid w:val="006B45C7"/>
    <w:rsid w:val="006B7208"/>
    <w:rsid w:val="006C357E"/>
    <w:rsid w:val="006C4DC3"/>
    <w:rsid w:val="006C644A"/>
    <w:rsid w:val="006D2D57"/>
    <w:rsid w:val="006D3223"/>
    <w:rsid w:val="006D3372"/>
    <w:rsid w:val="006D429A"/>
    <w:rsid w:val="006D4C62"/>
    <w:rsid w:val="006E179D"/>
    <w:rsid w:val="006E5155"/>
    <w:rsid w:val="006F133C"/>
    <w:rsid w:val="00700E50"/>
    <w:rsid w:val="0070368F"/>
    <w:rsid w:val="00710CFE"/>
    <w:rsid w:val="007110A9"/>
    <w:rsid w:val="007119E5"/>
    <w:rsid w:val="00712AFD"/>
    <w:rsid w:val="00712E68"/>
    <w:rsid w:val="00715DE1"/>
    <w:rsid w:val="00716081"/>
    <w:rsid w:val="00721D96"/>
    <w:rsid w:val="007254A5"/>
    <w:rsid w:val="00726A7F"/>
    <w:rsid w:val="00727C31"/>
    <w:rsid w:val="00733A5C"/>
    <w:rsid w:val="007343B5"/>
    <w:rsid w:val="00734C9C"/>
    <w:rsid w:val="00743AE0"/>
    <w:rsid w:val="0074518F"/>
    <w:rsid w:val="0074588E"/>
    <w:rsid w:val="0075200B"/>
    <w:rsid w:val="00760352"/>
    <w:rsid w:val="00760886"/>
    <w:rsid w:val="00762BE7"/>
    <w:rsid w:val="00765F47"/>
    <w:rsid w:val="007669D1"/>
    <w:rsid w:val="007678D1"/>
    <w:rsid w:val="00770C49"/>
    <w:rsid w:val="00770EE8"/>
    <w:rsid w:val="0077458C"/>
    <w:rsid w:val="007765BC"/>
    <w:rsid w:val="0078493B"/>
    <w:rsid w:val="00784BAC"/>
    <w:rsid w:val="00785A62"/>
    <w:rsid w:val="00786CF8"/>
    <w:rsid w:val="007933D6"/>
    <w:rsid w:val="00794CFA"/>
    <w:rsid w:val="00797F9C"/>
    <w:rsid w:val="007A230B"/>
    <w:rsid w:val="007A6D78"/>
    <w:rsid w:val="007A7C17"/>
    <w:rsid w:val="007B1CEC"/>
    <w:rsid w:val="007B4D1D"/>
    <w:rsid w:val="007C1481"/>
    <w:rsid w:val="007C3634"/>
    <w:rsid w:val="007D26FF"/>
    <w:rsid w:val="007D37DE"/>
    <w:rsid w:val="007D5003"/>
    <w:rsid w:val="007D7A88"/>
    <w:rsid w:val="007E23F8"/>
    <w:rsid w:val="007E41E0"/>
    <w:rsid w:val="007E4664"/>
    <w:rsid w:val="007F179F"/>
    <w:rsid w:val="007F1D1B"/>
    <w:rsid w:val="007F7BC8"/>
    <w:rsid w:val="00800B1C"/>
    <w:rsid w:val="00807D60"/>
    <w:rsid w:val="00812A6C"/>
    <w:rsid w:val="008139D0"/>
    <w:rsid w:val="00815364"/>
    <w:rsid w:val="0082137A"/>
    <w:rsid w:val="00822038"/>
    <w:rsid w:val="00822451"/>
    <w:rsid w:val="00824796"/>
    <w:rsid w:val="00825183"/>
    <w:rsid w:val="008301B7"/>
    <w:rsid w:val="00834F26"/>
    <w:rsid w:val="0084369F"/>
    <w:rsid w:val="00844BFF"/>
    <w:rsid w:val="00853662"/>
    <w:rsid w:val="008559B8"/>
    <w:rsid w:val="00855F56"/>
    <w:rsid w:val="008560A2"/>
    <w:rsid w:val="00862203"/>
    <w:rsid w:val="00862738"/>
    <w:rsid w:val="00866182"/>
    <w:rsid w:val="0087572F"/>
    <w:rsid w:val="008773CB"/>
    <w:rsid w:val="00880C8E"/>
    <w:rsid w:val="00882418"/>
    <w:rsid w:val="008919BF"/>
    <w:rsid w:val="00891FE6"/>
    <w:rsid w:val="00892B22"/>
    <w:rsid w:val="00896D45"/>
    <w:rsid w:val="008972BD"/>
    <w:rsid w:val="008A1A37"/>
    <w:rsid w:val="008A3026"/>
    <w:rsid w:val="008A5705"/>
    <w:rsid w:val="008A5B43"/>
    <w:rsid w:val="008B0375"/>
    <w:rsid w:val="008B0F73"/>
    <w:rsid w:val="008B30EB"/>
    <w:rsid w:val="008B42EC"/>
    <w:rsid w:val="008B4A26"/>
    <w:rsid w:val="008B589E"/>
    <w:rsid w:val="008B6193"/>
    <w:rsid w:val="008B6277"/>
    <w:rsid w:val="008B7921"/>
    <w:rsid w:val="008C2CFC"/>
    <w:rsid w:val="008C54A5"/>
    <w:rsid w:val="008C7203"/>
    <w:rsid w:val="008D02E1"/>
    <w:rsid w:val="008D2538"/>
    <w:rsid w:val="008D33BB"/>
    <w:rsid w:val="008D341C"/>
    <w:rsid w:val="008D47A6"/>
    <w:rsid w:val="008D4BF9"/>
    <w:rsid w:val="008D740E"/>
    <w:rsid w:val="008E06A2"/>
    <w:rsid w:val="008E1BE7"/>
    <w:rsid w:val="008E23E0"/>
    <w:rsid w:val="008E4717"/>
    <w:rsid w:val="008F06C3"/>
    <w:rsid w:val="008F0CD4"/>
    <w:rsid w:val="008F1085"/>
    <w:rsid w:val="008F3062"/>
    <w:rsid w:val="008F3B66"/>
    <w:rsid w:val="00905638"/>
    <w:rsid w:val="009067EB"/>
    <w:rsid w:val="009212D6"/>
    <w:rsid w:val="00925260"/>
    <w:rsid w:val="00936002"/>
    <w:rsid w:val="00936AC8"/>
    <w:rsid w:val="00947851"/>
    <w:rsid w:val="009552ED"/>
    <w:rsid w:val="0096014F"/>
    <w:rsid w:val="0096152C"/>
    <w:rsid w:val="00976146"/>
    <w:rsid w:val="00983E45"/>
    <w:rsid w:val="00985C4E"/>
    <w:rsid w:val="009900FD"/>
    <w:rsid w:val="00991A1C"/>
    <w:rsid w:val="009A1A82"/>
    <w:rsid w:val="009A5CBB"/>
    <w:rsid w:val="009A7A5C"/>
    <w:rsid w:val="009A7FB3"/>
    <w:rsid w:val="009B2FDD"/>
    <w:rsid w:val="009B5054"/>
    <w:rsid w:val="009C25F2"/>
    <w:rsid w:val="009C3A8E"/>
    <w:rsid w:val="009C47B2"/>
    <w:rsid w:val="009C682B"/>
    <w:rsid w:val="009E2156"/>
    <w:rsid w:val="009E3378"/>
    <w:rsid w:val="009E736D"/>
    <w:rsid w:val="009F0C77"/>
    <w:rsid w:val="009F1E2F"/>
    <w:rsid w:val="009F2261"/>
    <w:rsid w:val="009F35B3"/>
    <w:rsid w:val="009F504A"/>
    <w:rsid w:val="00A01876"/>
    <w:rsid w:val="00A03A10"/>
    <w:rsid w:val="00A03AF2"/>
    <w:rsid w:val="00A05B27"/>
    <w:rsid w:val="00A116F4"/>
    <w:rsid w:val="00A120F7"/>
    <w:rsid w:val="00A133D1"/>
    <w:rsid w:val="00A44396"/>
    <w:rsid w:val="00A5231C"/>
    <w:rsid w:val="00A559F1"/>
    <w:rsid w:val="00A56C8C"/>
    <w:rsid w:val="00A56ED6"/>
    <w:rsid w:val="00A722C6"/>
    <w:rsid w:val="00A7717C"/>
    <w:rsid w:val="00A83B9F"/>
    <w:rsid w:val="00A83EC9"/>
    <w:rsid w:val="00A8558F"/>
    <w:rsid w:val="00A91FF2"/>
    <w:rsid w:val="00A921C4"/>
    <w:rsid w:val="00A93FBE"/>
    <w:rsid w:val="00A97AD6"/>
    <w:rsid w:val="00AA047D"/>
    <w:rsid w:val="00AA388C"/>
    <w:rsid w:val="00AA6751"/>
    <w:rsid w:val="00AA74AF"/>
    <w:rsid w:val="00AA7529"/>
    <w:rsid w:val="00AB2338"/>
    <w:rsid w:val="00AB36DE"/>
    <w:rsid w:val="00AB5A04"/>
    <w:rsid w:val="00AB68A2"/>
    <w:rsid w:val="00AC06E1"/>
    <w:rsid w:val="00AC5894"/>
    <w:rsid w:val="00AC6D5D"/>
    <w:rsid w:val="00AE3F74"/>
    <w:rsid w:val="00AE4A1B"/>
    <w:rsid w:val="00AF0BF2"/>
    <w:rsid w:val="00AF64C1"/>
    <w:rsid w:val="00AF6AA0"/>
    <w:rsid w:val="00AF6EAA"/>
    <w:rsid w:val="00B036F5"/>
    <w:rsid w:val="00B06E6D"/>
    <w:rsid w:val="00B11734"/>
    <w:rsid w:val="00B11F52"/>
    <w:rsid w:val="00B23F51"/>
    <w:rsid w:val="00B24BAB"/>
    <w:rsid w:val="00B25065"/>
    <w:rsid w:val="00B274E8"/>
    <w:rsid w:val="00B3331C"/>
    <w:rsid w:val="00B372D7"/>
    <w:rsid w:val="00B47653"/>
    <w:rsid w:val="00B477BC"/>
    <w:rsid w:val="00B5053C"/>
    <w:rsid w:val="00B53E71"/>
    <w:rsid w:val="00B6122E"/>
    <w:rsid w:val="00B626A2"/>
    <w:rsid w:val="00B67678"/>
    <w:rsid w:val="00B7110A"/>
    <w:rsid w:val="00B7255B"/>
    <w:rsid w:val="00B72973"/>
    <w:rsid w:val="00B73269"/>
    <w:rsid w:val="00B75EB6"/>
    <w:rsid w:val="00B8042F"/>
    <w:rsid w:val="00B8200D"/>
    <w:rsid w:val="00B8641C"/>
    <w:rsid w:val="00B91C00"/>
    <w:rsid w:val="00B970B8"/>
    <w:rsid w:val="00B97109"/>
    <w:rsid w:val="00BA2819"/>
    <w:rsid w:val="00BB1490"/>
    <w:rsid w:val="00BB6D88"/>
    <w:rsid w:val="00BD1367"/>
    <w:rsid w:val="00BD22F2"/>
    <w:rsid w:val="00BD7503"/>
    <w:rsid w:val="00BE617B"/>
    <w:rsid w:val="00BF2B34"/>
    <w:rsid w:val="00C013FC"/>
    <w:rsid w:val="00C019D5"/>
    <w:rsid w:val="00C12229"/>
    <w:rsid w:val="00C12E91"/>
    <w:rsid w:val="00C13B74"/>
    <w:rsid w:val="00C14788"/>
    <w:rsid w:val="00C149EA"/>
    <w:rsid w:val="00C15ECF"/>
    <w:rsid w:val="00C16147"/>
    <w:rsid w:val="00C163B3"/>
    <w:rsid w:val="00C255E3"/>
    <w:rsid w:val="00C25D55"/>
    <w:rsid w:val="00C30E10"/>
    <w:rsid w:val="00C310C2"/>
    <w:rsid w:val="00C349A9"/>
    <w:rsid w:val="00C37FDD"/>
    <w:rsid w:val="00C44723"/>
    <w:rsid w:val="00C448CF"/>
    <w:rsid w:val="00C4555D"/>
    <w:rsid w:val="00C45A0F"/>
    <w:rsid w:val="00C462AF"/>
    <w:rsid w:val="00C479D5"/>
    <w:rsid w:val="00C50F8C"/>
    <w:rsid w:val="00C5228A"/>
    <w:rsid w:val="00C5283D"/>
    <w:rsid w:val="00C54AE1"/>
    <w:rsid w:val="00C54BBC"/>
    <w:rsid w:val="00C54FA4"/>
    <w:rsid w:val="00C55403"/>
    <w:rsid w:val="00C60BD0"/>
    <w:rsid w:val="00C646D7"/>
    <w:rsid w:val="00C7414A"/>
    <w:rsid w:val="00C800B5"/>
    <w:rsid w:val="00C92E89"/>
    <w:rsid w:val="00C932D5"/>
    <w:rsid w:val="00CA33C5"/>
    <w:rsid w:val="00CB091D"/>
    <w:rsid w:val="00CB7301"/>
    <w:rsid w:val="00CC2542"/>
    <w:rsid w:val="00CC55E8"/>
    <w:rsid w:val="00CD2921"/>
    <w:rsid w:val="00CD523A"/>
    <w:rsid w:val="00CD7D3E"/>
    <w:rsid w:val="00CE3F95"/>
    <w:rsid w:val="00CE432D"/>
    <w:rsid w:val="00CE51EF"/>
    <w:rsid w:val="00CE54CF"/>
    <w:rsid w:val="00CE631E"/>
    <w:rsid w:val="00CE66B0"/>
    <w:rsid w:val="00CE7CB5"/>
    <w:rsid w:val="00CE7F6A"/>
    <w:rsid w:val="00CF45AC"/>
    <w:rsid w:val="00CF70FB"/>
    <w:rsid w:val="00CF7A3E"/>
    <w:rsid w:val="00D00067"/>
    <w:rsid w:val="00D06421"/>
    <w:rsid w:val="00D120EA"/>
    <w:rsid w:val="00D12F37"/>
    <w:rsid w:val="00D14073"/>
    <w:rsid w:val="00D15494"/>
    <w:rsid w:val="00D17522"/>
    <w:rsid w:val="00D24D85"/>
    <w:rsid w:val="00D3034F"/>
    <w:rsid w:val="00D319C4"/>
    <w:rsid w:val="00D32612"/>
    <w:rsid w:val="00D33C15"/>
    <w:rsid w:val="00D37F2F"/>
    <w:rsid w:val="00D4369C"/>
    <w:rsid w:val="00D5792D"/>
    <w:rsid w:val="00D6732A"/>
    <w:rsid w:val="00D70C2F"/>
    <w:rsid w:val="00D71CBB"/>
    <w:rsid w:val="00D725DE"/>
    <w:rsid w:val="00D72F0B"/>
    <w:rsid w:val="00D7374D"/>
    <w:rsid w:val="00D74847"/>
    <w:rsid w:val="00D74A2C"/>
    <w:rsid w:val="00D77CFF"/>
    <w:rsid w:val="00D81A1B"/>
    <w:rsid w:val="00D82809"/>
    <w:rsid w:val="00D837F5"/>
    <w:rsid w:val="00D83FBB"/>
    <w:rsid w:val="00D853AB"/>
    <w:rsid w:val="00D92D96"/>
    <w:rsid w:val="00D92F36"/>
    <w:rsid w:val="00D97C8E"/>
    <w:rsid w:val="00DA094D"/>
    <w:rsid w:val="00DA7A74"/>
    <w:rsid w:val="00DB1B55"/>
    <w:rsid w:val="00DB318D"/>
    <w:rsid w:val="00DB5F65"/>
    <w:rsid w:val="00DB6564"/>
    <w:rsid w:val="00DC18F6"/>
    <w:rsid w:val="00DC2D1C"/>
    <w:rsid w:val="00DC45DF"/>
    <w:rsid w:val="00DC4B43"/>
    <w:rsid w:val="00DC5FF0"/>
    <w:rsid w:val="00DD26A5"/>
    <w:rsid w:val="00DD6878"/>
    <w:rsid w:val="00DD7C2D"/>
    <w:rsid w:val="00DE36A0"/>
    <w:rsid w:val="00DE46E4"/>
    <w:rsid w:val="00DE4BE9"/>
    <w:rsid w:val="00DF0BBD"/>
    <w:rsid w:val="00DF43E7"/>
    <w:rsid w:val="00DF6C28"/>
    <w:rsid w:val="00DF7485"/>
    <w:rsid w:val="00DF7BE5"/>
    <w:rsid w:val="00E0052A"/>
    <w:rsid w:val="00E020B7"/>
    <w:rsid w:val="00E02456"/>
    <w:rsid w:val="00E03E40"/>
    <w:rsid w:val="00E0415F"/>
    <w:rsid w:val="00E218F6"/>
    <w:rsid w:val="00E2448E"/>
    <w:rsid w:val="00E30490"/>
    <w:rsid w:val="00E32D5D"/>
    <w:rsid w:val="00E3369B"/>
    <w:rsid w:val="00E33EAA"/>
    <w:rsid w:val="00E42467"/>
    <w:rsid w:val="00E43E40"/>
    <w:rsid w:val="00E47344"/>
    <w:rsid w:val="00E52567"/>
    <w:rsid w:val="00E571D4"/>
    <w:rsid w:val="00E573A3"/>
    <w:rsid w:val="00E57BC7"/>
    <w:rsid w:val="00E634A0"/>
    <w:rsid w:val="00E64B07"/>
    <w:rsid w:val="00E72A68"/>
    <w:rsid w:val="00E7457B"/>
    <w:rsid w:val="00E80F1E"/>
    <w:rsid w:val="00E848F1"/>
    <w:rsid w:val="00E859DC"/>
    <w:rsid w:val="00E86111"/>
    <w:rsid w:val="00E869ED"/>
    <w:rsid w:val="00E86B88"/>
    <w:rsid w:val="00E877A0"/>
    <w:rsid w:val="00E92ABB"/>
    <w:rsid w:val="00E941BA"/>
    <w:rsid w:val="00E9675A"/>
    <w:rsid w:val="00EA310A"/>
    <w:rsid w:val="00EB0562"/>
    <w:rsid w:val="00EB3A58"/>
    <w:rsid w:val="00EB4166"/>
    <w:rsid w:val="00EB467F"/>
    <w:rsid w:val="00EB50B1"/>
    <w:rsid w:val="00EC1499"/>
    <w:rsid w:val="00EC5872"/>
    <w:rsid w:val="00ED4913"/>
    <w:rsid w:val="00ED5581"/>
    <w:rsid w:val="00ED5B21"/>
    <w:rsid w:val="00EE182C"/>
    <w:rsid w:val="00EE21CF"/>
    <w:rsid w:val="00EE6415"/>
    <w:rsid w:val="00EE66AF"/>
    <w:rsid w:val="00EF0B86"/>
    <w:rsid w:val="00EF168E"/>
    <w:rsid w:val="00EF5964"/>
    <w:rsid w:val="00EF66CD"/>
    <w:rsid w:val="00EF7019"/>
    <w:rsid w:val="00F0020C"/>
    <w:rsid w:val="00F00DE2"/>
    <w:rsid w:val="00F06E3B"/>
    <w:rsid w:val="00F1017B"/>
    <w:rsid w:val="00F11E61"/>
    <w:rsid w:val="00F12814"/>
    <w:rsid w:val="00F1433B"/>
    <w:rsid w:val="00F27002"/>
    <w:rsid w:val="00F34586"/>
    <w:rsid w:val="00F3499A"/>
    <w:rsid w:val="00F45E3A"/>
    <w:rsid w:val="00F4649B"/>
    <w:rsid w:val="00F53A94"/>
    <w:rsid w:val="00F54A95"/>
    <w:rsid w:val="00F54E18"/>
    <w:rsid w:val="00F56287"/>
    <w:rsid w:val="00F6265B"/>
    <w:rsid w:val="00F6481F"/>
    <w:rsid w:val="00F72805"/>
    <w:rsid w:val="00F73970"/>
    <w:rsid w:val="00F7633F"/>
    <w:rsid w:val="00F76CF9"/>
    <w:rsid w:val="00F80254"/>
    <w:rsid w:val="00F84FD0"/>
    <w:rsid w:val="00F86C39"/>
    <w:rsid w:val="00F926E0"/>
    <w:rsid w:val="00FA120E"/>
    <w:rsid w:val="00FA26BD"/>
    <w:rsid w:val="00FA670D"/>
    <w:rsid w:val="00FC24BB"/>
    <w:rsid w:val="00FC348C"/>
    <w:rsid w:val="00FC3B19"/>
    <w:rsid w:val="00FC5883"/>
    <w:rsid w:val="00FC5A14"/>
    <w:rsid w:val="00FC6527"/>
    <w:rsid w:val="00FC75F5"/>
    <w:rsid w:val="00FD037B"/>
    <w:rsid w:val="00FD10FA"/>
    <w:rsid w:val="00FE12FA"/>
    <w:rsid w:val="00FE384B"/>
    <w:rsid w:val="00FE4683"/>
    <w:rsid w:val="00FE57D7"/>
    <w:rsid w:val="00FE6B74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6A4A6"/>
  <w15:docId w15:val="{9451F2FF-FAA9-4826-BA9D-99EA6D70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1E3B99"/>
    <w:pPr>
      <w:spacing w:before="8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281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B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7208"/>
  </w:style>
  <w:style w:type="paragraph" w:styleId="Stopka">
    <w:name w:val="footer"/>
    <w:basedOn w:val="Normalny"/>
    <w:link w:val="StopkaZnak"/>
    <w:uiPriority w:val="99"/>
    <w:unhideWhenUsed/>
    <w:rsid w:val="006B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208"/>
  </w:style>
  <w:style w:type="paragraph" w:customStyle="1" w:styleId="BodyText21">
    <w:name w:val="Body Text 21"/>
    <w:basedOn w:val="Normalny"/>
    <w:rsid w:val="00B5053C"/>
    <w:pPr>
      <w:spacing w:before="8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B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B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B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B74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FE6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E6B74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FE6B7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1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1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1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1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1A2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D6878"/>
    <w:pPr>
      <w:spacing w:after="0" w:line="240" w:lineRule="auto"/>
      <w:ind w:left="426" w:hanging="284"/>
      <w:jc w:val="both"/>
    </w:pPr>
    <w:rPr>
      <w:rFonts w:ascii="Arial" w:eastAsia="Times New Roman" w:hAnsi="Arial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D6878"/>
    <w:rPr>
      <w:rFonts w:ascii="Arial" w:eastAsia="Times New Roman" w:hAnsi="Arial" w:cs="Times New Roman"/>
      <w:lang w:eastAsia="pl-PL"/>
    </w:rPr>
  </w:style>
  <w:style w:type="paragraph" w:styleId="Poprawka">
    <w:name w:val="Revision"/>
    <w:hidden/>
    <w:uiPriority w:val="99"/>
    <w:semiHidden/>
    <w:rsid w:val="008A3026"/>
    <w:pPr>
      <w:spacing w:after="0" w:line="240" w:lineRule="auto"/>
    </w:pPr>
  </w:style>
  <w:style w:type="character" w:customStyle="1" w:styleId="hgkelc">
    <w:name w:val="hgkelc"/>
    <w:basedOn w:val="Domylnaczcionkaakapitu"/>
    <w:rsid w:val="008773CB"/>
  </w:style>
  <w:style w:type="character" w:styleId="Hipercze">
    <w:name w:val="Hyperlink"/>
    <w:basedOn w:val="Domylnaczcionkaakapitu"/>
    <w:uiPriority w:val="99"/>
    <w:unhideWhenUsed/>
    <w:rsid w:val="005D5E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EE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57A83"/>
  </w:style>
  <w:style w:type="character" w:customStyle="1" w:styleId="Teksttreci6Bezkursywy">
    <w:name w:val="Tekst treści (6) + Bez kursywy"/>
    <w:basedOn w:val="Domylnaczcionkaakapitu"/>
    <w:rsid w:val="00055FE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paragraph" w:customStyle="1" w:styleId="Styl">
    <w:name w:val="Styl"/>
    <w:rsid w:val="005E4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3D08-EB87-4AAA-BEC6-20EBEF88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2490</Words>
  <Characters>14940</Characters>
  <Application>Microsoft Office Word</Application>
  <DocSecurity>4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 SA</Company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Siupa</dc:creator>
  <cp:lastModifiedBy>Agnieszka Dawidowska</cp:lastModifiedBy>
  <cp:revision>2</cp:revision>
  <cp:lastPrinted>2024-02-20T07:42:00Z</cp:lastPrinted>
  <dcterms:created xsi:type="dcterms:W3CDTF">2026-05-18T11:46:00Z</dcterms:created>
  <dcterms:modified xsi:type="dcterms:W3CDTF">2026-05-18T11:46:00Z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BANK\agnieszka.zarlok;Agnieszka Żarłok</vt:lpwstr>
  </property>
  <property fmtid="{D5CDD505-2E9C-101B-9397-08002B2CF9AE}" pid="4" name="BPSClassificationDate">
    <vt:lpwstr>2018-04-12T14:03:53.5323322+02:00</vt:lpwstr>
  </property>
  <property fmtid="{D5CDD505-2E9C-101B-9397-08002B2CF9AE}" pid="5" name="BPSClassifiedBySID">
    <vt:lpwstr>BANK\S-1-5-21-2235066060-4034229115-1914166231-52735</vt:lpwstr>
  </property>
  <property fmtid="{D5CDD505-2E9C-101B-9397-08002B2CF9AE}" pid="6" name="BPSGRNItemId">
    <vt:lpwstr>GRN-64e6fd33-2af0-4c2c-83df-64dfd75558e8</vt:lpwstr>
  </property>
  <property fmtid="{D5CDD505-2E9C-101B-9397-08002B2CF9AE}" pid="7" name="BPSHash">
    <vt:lpwstr>6RUpent0wyKndXpRs6AUSwhISwf1eBHgZ9fmoBwihyA=</vt:lpwstr>
  </property>
  <property fmtid="{D5CDD505-2E9C-101B-9397-08002B2CF9AE}" pid="8" name="BPSRefresh">
    <vt:lpwstr>False</vt:lpwstr>
  </property>
</Properties>
</file>